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BBE6" w14:textId="314E7001" w:rsidR="00295D05" w:rsidRPr="00C51572" w:rsidRDefault="004B7C51" w:rsidP="00857819">
      <w:pPr>
        <w:pStyle w:val="Heading1"/>
        <w:tabs>
          <w:tab w:val="left" w:pos="6164"/>
        </w:tabs>
        <w:rPr>
          <w:rFonts w:asciiTheme="minorHAnsi" w:hAnsiTheme="minorHAnsi" w:cstheme="minorHAnsi"/>
          <w:smallCaps/>
          <w:color w:val="679A47"/>
          <w:u w:val="none"/>
        </w:rPr>
      </w:pPr>
      <w:r w:rsidRPr="00C51572">
        <w:rPr>
          <w:rFonts w:asciiTheme="minorHAnsi" w:hAnsiTheme="minorHAnsi" w:cstheme="minorHAnsi"/>
          <w:smallCaps/>
          <w:color w:val="679A47"/>
          <w:u w:val="none"/>
        </w:rPr>
        <w:t>Description</w:t>
      </w:r>
      <w:bookmarkStart w:id="0" w:name="_GoBack"/>
      <w:bookmarkEnd w:id="0"/>
    </w:p>
    <w:p w14:paraId="6EAA2097" w14:textId="77777777" w:rsidR="005658BE" w:rsidRPr="004D7FE6" w:rsidRDefault="005658BE">
      <w:pPr>
        <w:rPr>
          <w:rFonts w:asciiTheme="minorHAnsi" w:eastAsia="MS Mincho" w:hAnsiTheme="minorHAnsi" w:cstheme="minorHAnsi"/>
          <w:sz w:val="22"/>
          <w:szCs w:val="22"/>
        </w:rPr>
      </w:pPr>
    </w:p>
    <w:p w14:paraId="5A185344" w14:textId="780A0968" w:rsidR="00BB2D67" w:rsidRPr="00132E49" w:rsidRDefault="00504598" w:rsidP="003C10C6">
      <w:pPr>
        <w:ind w:right="-288"/>
        <w:rPr>
          <w:rFonts w:asciiTheme="minorHAnsi" w:hAnsiTheme="minorHAnsi" w:cstheme="minorHAnsi"/>
          <w:sz w:val="22"/>
          <w:szCs w:val="22"/>
        </w:rPr>
      </w:pPr>
      <w:r w:rsidRPr="004D7FE6">
        <w:rPr>
          <w:rFonts w:asciiTheme="minorHAnsi" w:hAnsiTheme="minorHAnsi" w:cstheme="minorHAnsi"/>
          <w:sz w:val="22"/>
          <w:szCs w:val="22"/>
        </w:rPr>
        <w:t xml:space="preserve">An agricultural conservation easement (ACE) </w:t>
      </w:r>
      <w:r w:rsidR="00124849" w:rsidRPr="004D7FE6">
        <w:rPr>
          <w:rFonts w:asciiTheme="minorHAnsi" w:hAnsiTheme="minorHAnsi" w:cstheme="minorHAnsi"/>
          <w:sz w:val="22"/>
          <w:szCs w:val="22"/>
        </w:rPr>
        <w:t>i</w:t>
      </w:r>
      <w:r w:rsidR="003C10C6" w:rsidRPr="004D7FE6">
        <w:rPr>
          <w:rFonts w:asciiTheme="minorHAnsi" w:hAnsiTheme="minorHAnsi" w:cstheme="minorHAnsi"/>
          <w:sz w:val="22"/>
          <w:szCs w:val="22"/>
        </w:rPr>
        <w:t xml:space="preserve">s a </w:t>
      </w:r>
      <w:proofErr w:type="gramStart"/>
      <w:r w:rsidR="003C10C6" w:rsidRPr="004D7FE6">
        <w:rPr>
          <w:rFonts w:asciiTheme="minorHAnsi" w:hAnsiTheme="minorHAnsi" w:cstheme="minorHAnsi"/>
          <w:sz w:val="22"/>
          <w:szCs w:val="22"/>
        </w:rPr>
        <w:t>deed restriction landowners</w:t>
      </w:r>
      <w:proofErr w:type="gramEnd"/>
      <w:r w:rsidR="00124849" w:rsidRPr="004D7FE6">
        <w:rPr>
          <w:rFonts w:asciiTheme="minorHAnsi" w:hAnsiTheme="minorHAnsi" w:cstheme="minorHAnsi"/>
          <w:sz w:val="22"/>
          <w:szCs w:val="22"/>
        </w:rPr>
        <w:t xml:space="preserve"> </w:t>
      </w:r>
      <w:r w:rsidR="003C10C6" w:rsidRPr="004D7FE6">
        <w:rPr>
          <w:rFonts w:asciiTheme="minorHAnsi" w:hAnsiTheme="minorHAnsi" w:cstheme="minorHAnsi"/>
          <w:sz w:val="22"/>
          <w:szCs w:val="22"/>
        </w:rPr>
        <w:t>voluntarily place on their property to protect productive agricultural land</w:t>
      </w:r>
      <w:r w:rsidR="00124849" w:rsidRPr="004D7FE6">
        <w:rPr>
          <w:rFonts w:asciiTheme="minorHAnsi" w:hAnsiTheme="minorHAnsi" w:cstheme="minorHAnsi"/>
          <w:sz w:val="22"/>
          <w:szCs w:val="22"/>
        </w:rPr>
        <w:t xml:space="preserve"> by </w:t>
      </w:r>
      <w:r w:rsidRPr="004D7FE6">
        <w:rPr>
          <w:rFonts w:asciiTheme="minorHAnsi" w:hAnsiTheme="minorHAnsi" w:cstheme="minorHAnsi"/>
          <w:sz w:val="22"/>
          <w:szCs w:val="22"/>
        </w:rPr>
        <w:t>limit</w:t>
      </w:r>
      <w:r w:rsidR="00124849" w:rsidRPr="004D7FE6">
        <w:rPr>
          <w:rFonts w:asciiTheme="minorHAnsi" w:hAnsiTheme="minorHAnsi" w:cstheme="minorHAnsi"/>
          <w:sz w:val="22"/>
          <w:szCs w:val="22"/>
        </w:rPr>
        <w:t>ing</w:t>
      </w:r>
      <w:r w:rsidRPr="004D7FE6">
        <w:rPr>
          <w:rFonts w:asciiTheme="minorHAnsi" w:hAnsiTheme="minorHAnsi" w:cstheme="minorHAnsi"/>
          <w:sz w:val="22"/>
          <w:szCs w:val="22"/>
        </w:rPr>
        <w:t xml:space="preserve"> subdivision, non-farm</w:t>
      </w:r>
      <w:r w:rsidR="00124849" w:rsidRPr="004D7FE6">
        <w:rPr>
          <w:rFonts w:asciiTheme="minorHAnsi" w:hAnsiTheme="minorHAnsi" w:cstheme="minorHAnsi"/>
          <w:sz w:val="22"/>
          <w:szCs w:val="22"/>
        </w:rPr>
        <w:t xml:space="preserve"> </w:t>
      </w:r>
      <w:r w:rsidRPr="004D7FE6">
        <w:rPr>
          <w:rFonts w:asciiTheme="minorHAnsi" w:hAnsiTheme="minorHAnsi" w:cstheme="minorHAnsi"/>
          <w:sz w:val="22"/>
          <w:szCs w:val="22"/>
        </w:rPr>
        <w:t>development</w:t>
      </w:r>
      <w:r w:rsidR="00124849" w:rsidRPr="004D7FE6">
        <w:rPr>
          <w:rFonts w:asciiTheme="minorHAnsi" w:hAnsiTheme="minorHAnsi" w:cstheme="minorHAnsi"/>
          <w:sz w:val="22"/>
          <w:szCs w:val="22"/>
        </w:rPr>
        <w:t>,</w:t>
      </w:r>
      <w:r w:rsidRPr="004D7FE6">
        <w:rPr>
          <w:rFonts w:asciiTheme="minorHAnsi" w:hAnsiTheme="minorHAnsi" w:cstheme="minorHAnsi"/>
          <w:sz w:val="22"/>
          <w:szCs w:val="22"/>
        </w:rPr>
        <w:t xml:space="preserve"> and other </w:t>
      </w:r>
      <w:r w:rsidRPr="00132E49">
        <w:rPr>
          <w:rFonts w:asciiTheme="minorHAnsi" w:hAnsiTheme="minorHAnsi" w:cstheme="minorHAnsi"/>
          <w:sz w:val="22"/>
          <w:szCs w:val="22"/>
        </w:rPr>
        <w:t>uses that are</w:t>
      </w:r>
      <w:r w:rsidR="00604815" w:rsidRPr="00132E49">
        <w:rPr>
          <w:rFonts w:asciiTheme="minorHAnsi" w:hAnsiTheme="minorHAnsi" w:cstheme="minorHAnsi"/>
          <w:sz w:val="22"/>
          <w:szCs w:val="22"/>
        </w:rPr>
        <w:t xml:space="preserve"> </w:t>
      </w:r>
      <w:r w:rsidRPr="00132E49">
        <w:rPr>
          <w:rFonts w:asciiTheme="minorHAnsi" w:hAnsiTheme="minorHAnsi" w:cstheme="minorHAnsi"/>
          <w:sz w:val="22"/>
          <w:szCs w:val="22"/>
        </w:rPr>
        <w:t>inco</w:t>
      </w:r>
      <w:r w:rsidR="00550CB5" w:rsidRPr="00132E49">
        <w:rPr>
          <w:rFonts w:asciiTheme="minorHAnsi" w:hAnsiTheme="minorHAnsi" w:cstheme="minorHAnsi"/>
          <w:sz w:val="22"/>
          <w:szCs w:val="22"/>
        </w:rPr>
        <w:t>mpatible</w:t>
      </w:r>
      <w:r w:rsidRPr="00132E49">
        <w:rPr>
          <w:rFonts w:asciiTheme="minorHAnsi" w:hAnsiTheme="minorHAnsi" w:cstheme="minorHAnsi"/>
          <w:sz w:val="22"/>
          <w:szCs w:val="22"/>
        </w:rPr>
        <w:t xml:space="preserve"> with commercial agriculture.</w:t>
      </w:r>
      <w:r w:rsidR="00124849" w:rsidRPr="00132E49">
        <w:rPr>
          <w:rFonts w:asciiTheme="minorHAnsi" w:hAnsiTheme="minorHAnsi" w:cstheme="minorHAnsi"/>
          <w:sz w:val="22"/>
          <w:szCs w:val="22"/>
        </w:rPr>
        <w:t xml:space="preserve"> </w:t>
      </w:r>
      <w:r w:rsidR="00A60A10" w:rsidRPr="00132E49">
        <w:rPr>
          <w:rFonts w:asciiTheme="minorHAnsi" w:hAnsiTheme="minorHAnsi" w:cstheme="minorHAnsi"/>
          <w:sz w:val="22"/>
          <w:szCs w:val="22"/>
        </w:rPr>
        <w:t xml:space="preserve">Landowners can </w:t>
      </w:r>
      <w:r w:rsidR="006B35B4" w:rsidRPr="00132E49">
        <w:rPr>
          <w:rFonts w:asciiTheme="minorHAnsi" w:hAnsiTheme="minorHAnsi" w:cstheme="minorHAnsi"/>
          <w:sz w:val="22"/>
          <w:szCs w:val="22"/>
        </w:rPr>
        <w:t xml:space="preserve">convey </w:t>
      </w:r>
      <w:r w:rsidR="00A60A10" w:rsidRPr="00132E49">
        <w:rPr>
          <w:rFonts w:asciiTheme="minorHAnsi" w:hAnsiTheme="minorHAnsi" w:cstheme="minorHAnsi"/>
          <w:sz w:val="22"/>
          <w:szCs w:val="22"/>
        </w:rPr>
        <w:t xml:space="preserve">an </w:t>
      </w:r>
      <w:r w:rsidR="00DE4352" w:rsidRPr="00132E49">
        <w:rPr>
          <w:rFonts w:asciiTheme="minorHAnsi" w:hAnsiTheme="minorHAnsi" w:cstheme="minorHAnsi"/>
          <w:sz w:val="22"/>
          <w:szCs w:val="22"/>
        </w:rPr>
        <w:t xml:space="preserve">ACE </w:t>
      </w:r>
      <w:r w:rsidR="00A60A10" w:rsidRPr="00132E49">
        <w:rPr>
          <w:rFonts w:asciiTheme="minorHAnsi" w:hAnsiTheme="minorHAnsi" w:cstheme="minorHAnsi"/>
          <w:sz w:val="22"/>
          <w:szCs w:val="22"/>
        </w:rPr>
        <w:t xml:space="preserve">to </w:t>
      </w:r>
      <w:r w:rsidR="003E5788" w:rsidRPr="00132E49">
        <w:rPr>
          <w:rFonts w:asciiTheme="minorHAnsi" w:hAnsiTheme="minorHAnsi" w:cstheme="minorHAnsi"/>
          <w:sz w:val="22"/>
          <w:szCs w:val="22"/>
        </w:rPr>
        <w:t xml:space="preserve">a </w:t>
      </w:r>
      <w:r w:rsidR="00A60A10" w:rsidRPr="00132E49">
        <w:rPr>
          <w:rFonts w:asciiTheme="minorHAnsi" w:hAnsiTheme="minorHAnsi" w:cstheme="minorHAnsi"/>
          <w:sz w:val="22"/>
          <w:szCs w:val="22"/>
        </w:rPr>
        <w:t>public purchase of agricultural conservation easement (PACE) program or a local land trust</w:t>
      </w:r>
      <w:r w:rsidR="006B35B4" w:rsidRPr="00132E49">
        <w:rPr>
          <w:rFonts w:asciiTheme="minorHAnsi" w:hAnsiTheme="minorHAnsi" w:cstheme="minorHAnsi"/>
          <w:sz w:val="22"/>
          <w:szCs w:val="22"/>
        </w:rPr>
        <w:t xml:space="preserve"> to monitor and enforce the restrictions set forth in the agreement</w:t>
      </w:r>
      <w:r w:rsidR="00A60A10" w:rsidRPr="00132E49">
        <w:rPr>
          <w:rFonts w:asciiTheme="minorHAnsi" w:hAnsiTheme="minorHAnsi" w:cstheme="minorHAnsi"/>
          <w:sz w:val="22"/>
          <w:szCs w:val="22"/>
        </w:rPr>
        <w:t>.</w:t>
      </w:r>
      <w:r w:rsidR="00A94CF5" w:rsidRPr="00132E49">
        <w:rPr>
          <w:rStyle w:val="FootnoteReference"/>
          <w:rFonts w:asciiTheme="minorHAnsi" w:hAnsiTheme="minorHAnsi" w:cstheme="minorHAnsi"/>
          <w:sz w:val="22"/>
          <w:szCs w:val="22"/>
        </w:rPr>
        <w:footnoteReference w:id="1"/>
      </w:r>
      <w:r w:rsidR="00A60A10" w:rsidRPr="00132E49">
        <w:rPr>
          <w:rFonts w:asciiTheme="minorHAnsi" w:hAnsiTheme="minorHAnsi" w:cstheme="minorHAnsi"/>
          <w:sz w:val="22"/>
          <w:szCs w:val="22"/>
        </w:rPr>
        <w:t xml:space="preserve"> When a</w:t>
      </w:r>
      <w:r w:rsidR="003E5788" w:rsidRPr="00132E49">
        <w:rPr>
          <w:rFonts w:asciiTheme="minorHAnsi" w:hAnsiTheme="minorHAnsi" w:cstheme="minorHAnsi"/>
          <w:sz w:val="22"/>
          <w:szCs w:val="22"/>
        </w:rPr>
        <w:t xml:space="preserve"> </w:t>
      </w:r>
      <w:r w:rsidR="00A60A10" w:rsidRPr="00132E49">
        <w:rPr>
          <w:rFonts w:asciiTheme="minorHAnsi" w:hAnsiTheme="minorHAnsi" w:cstheme="minorHAnsi"/>
          <w:sz w:val="22"/>
          <w:szCs w:val="22"/>
        </w:rPr>
        <w:t>landowner sells an ACE, p</w:t>
      </w:r>
      <w:r w:rsidR="00124849" w:rsidRPr="00132E49">
        <w:rPr>
          <w:rFonts w:asciiTheme="minorHAnsi" w:hAnsiTheme="minorHAnsi" w:cstheme="minorHAnsi"/>
          <w:sz w:val="22"/>
          <w:szCs w:val="22"/>
        </w:rPr>
        <w:t xml:space="preserve">roceeds from the sale can free up capital to reinvest in their </w:t>
      </w:r>
      <w:r w:rsidR="003E5788" w:rsidRPr="00132E49">
        <w:rPr>
          <w:rFonts w:asciiTheme="minorHAnsi" w:hAnsiTheme="minorHAnsi" w:cstheme="minorHAnsi"/>
          <w:sz w:val="22"/>
          <w:szCs w:val="22"/>
        </w:rPr>
        <w:t xml:space="preserve">agricultural </w:t>
      </w:r>
      <w:r w:rsidR="00124849" w:rsidRPr="00132E49">
        <w:rPr>
          <w:rFonts w:asciiTheme="minorHAnsi" w:hAnsiTheme="minorHAnsi" w:cstheme="minorHAnsi"/>
          <w:sz w:val="22"/>
          <w:szCs w:val="22"/>
        </w:rPr>
        <w:t xml:space="preserve">operation, acquire additional land, invest for retirement, or reduce debt. </w:t>
      </w:r>
      <w:r w:rsidR="00BB2D67" w:rsidRPr="00132E49">
        <w:rPr>
          <w:rFonts w:asciiTheme="minorHAnsi" w:hAnsiTheme="minorHAnsi" w:cstheme="minorHAnsi"/>
          <w:sz w:val="22"/>
          <w:szCs w:val="22"/>
        </w:rPr>
        <w:t>An ACE can</w:t>
      </w:r>
      <w:r w:rsidR="002A25CE" w:rsidRPr="00132E49">
        <w:rPr>
          <w:rFonts w:asciiTheme="minorHAnsi" w:hAnsiTheme="minorHAnsi" w:cstheme="minorHAnsi"/>
          <w:sz w:val="22"/>
          <w:szCs w:val="22"/>
        </w:rPr>
        <w:t xml:space="preserve"> also help keep farmland affordable for</w:t>
      </w:r>
      <w:r w:rsidR="00114577" w:rsidRPr="00132E49">
        <w:rPr>
          <w:rFonts w:asciiTheme="minorHAnsi" w:hAnsiTheme="minorHAnsi" w:cstheme="minorHAnsi"/>
          <w:sz w:val="22"/>
          <w:szCs w:val="22"/>
        </w:rPr>
        <w:t xml:space="preserve"> </w:t>
      </w:r>
      <w:r w:rsidR="002A25CE" w:rsidRPr="00132E49">
        <w:rPr>
          <w:rFonts w:asciiTheme="minorHAnsi" w:hAnsiTheme="minorHAnsi" w:cstheme="minorHAnsi"/>
          <w:sz w:val="22"/>
          <w:szCs w:val="22"/>
        </w:rPr>
        <w:t xml:space="preserve">intergenerational transfer and for beginning farmers. </w:t>
      </w:r>
    </w:p>
    <w:p w14:paraId="6DE4FF83" w14:textId="5A583499" w:rsidR="00295D05" w:rsidRPr="004D7FE6" w:rsidRDefault="00295D05" w:rsidP="002A25CE">
      <w:pPr>
        <w:ind w:right="-288"/>
        <w:rPr>
          <w:rFonts w:asciiTheme="minorHAnsi" w:hAnsiTheme="minorHAnsi" w:cstheme="minorHAnsi"/>
          <w:sz w:val="22"/>
          <w:szCs w:val="22"/>
        </w:rPr>
      </w:pPr>
    </w:p>
    <w:p w14:paraId="052B30AE" w14:textId="77777777" w:rsidR="00295D05" w:rsidRPr="00C51572" w:rsidRDefault="004B7C51">
      <w:pPr>
        <w:pStyle w:val="Heading1"/>
        <w:rPr>
          <w:rFonts w:asciiTheme="minorHAnsi" w:hAnsiTheme="minorHAnsi" w:cstheme="minorHAnsi"/>
          <w:smallCaps/>
          <w:color w:val="679A47"/>
          <w:u w:val="none"/>
        </w:rPr>
      </w:pPr>
      <w:r w:rsidRPr="00C51572">
        <w:rPr>
          <w:rFonts w:asciiTheme="minorHAnsi" w:hAnsiTheme="minorHAnsi" w:cstheme="minorHAnsi"/>
          <w:smallCaps/>
          <w:color w:val="679A47"/>
          <w:u w:val="none"/>
        </w:rPr>
        <w:t>Issues and Options</w:t>
      </w:r>
    </w:p>
    <w:p w14:paraId="64F72441" w14:textId="77777777" w:rsidR="00295D05" w:rsidRPr="004D7FE6" w:rsidRDefault="00295D05">
      <w:pPr>
        <w:rPr>
          <w:rFonts w:asciiTheme="minorHAnsi" w:hAnsiTheme="minorHAnsi" w:cstheme="minorHAnsi"/>
          <w:sz w:val="22"/>
          <w:szCs w:val="22"/>
        </w:rPr>
      </w:pPr>
    </w:p>
    <w:p w14:paraId="7836AF6C" w14:textId="5DD36EC4" w:rsidR="00295D05" w:rsidRPr="004D7FE6" w:rsidRDefault="004475D2">
      <w:pPr>
        <w:rPr>
          <w:rFonts w:asciiTheme="minorHAnsi" w:hAnsiTheme="minorHAnsi" w:cstheme="minorHAnsi"/>
          <w:sz w:val="22"/>
          <w:szCs w:val="22"/>
        </w:rPr>
      </w:pPr>
      <w:r w:rsidRPr="004D7FE6">
        <w:rPr>
          <w:rFonts w:asciiTheme="minorHAnsi" w:hAnsiTheme="minorHAnsi" w:cstheme="minorHAnsi"/>
          <w:sz w:val="22"/>
          <w:szCs w:val="22"/>
        </w:rPr>
        <w:t>ACEs</w:t>
      </w:r>
      <w:r w:rsidR="004B7C51" w:rsidRPr="004D7FE6">
        <w:rPr>
          <w:rFonts w:asciiTheme="minorHAnsi" w:hAnsiTheme="minorHAnsi" w:cstheme="minorHAnsi"/>
          <w:sz w:val="22"/>
          <w:szCs w:val="22"/>
        </w:rPr>
        <w:t xml:space="preserve"> are substantial conveyances of real estate interests and should be undertaken with careful thought and planning. Four main planning issues to consider include:</w:t>
      </w:r>
    </w:p>
    <w:p w14:paraId="64F4ABF5" w14:textId="77777777" w:rsidR="00295D05" w:rsidRPr="004D7FE6" w:rsidRDefault="00295D05">
      <w:pPr>
        <w:rPr>
          <w:rFonts w:asciiTheme="minorHAnsi" w:hAnsiTheme="minorHAnsi" w:cstheme="minorHAnsi"/>
          <w:sz w:val="22"/>
          <w:szCs w:val="22"/>
        </w:rPr>
      </w:pPr>
    </w:p>
    <w:p w14:paraId="1975BB3C" w14:textId="51B17CAE" w:rsidR="00295D05" w:rsidRPr="004D7FE6" w:rsidRDefault="004B7C51">
      <w:pPr>
        <w:numPr>
          <w:ilvl w:val="0"/>
          <w:numId w:val="1"/>
        </w:numPr>
        <w:rPr>
          <w:rFonts w:asciiTheme="minorHAnsi" w:hAnsiTheme="minorHAnsi" w:cstheme="minorHAnsi"/>
          <w:sz w:val="22"/>
          <w:szCs w:val="22"/>
        </w:rPr>
      </w:pPr>
      <w:r w:rsidRPr="004D7FE6">
        <w:rPr>
          <w:rFonts w:asciiTheme="minorHAnsi" w:hAnsiTheme="minorHAnsi" w:cstheme="minorHAnsi"/>
          <w:sz w:val="22"/>
          <w:szCs w:val="22"/>
        </w:rPr>
        <w:t>Land planning</w:t>
      </w:r>
      <w:r w:rsidR="00A33283" w:rsidRPr="004D7FE6">
        <w:rPr>
          <w:rFonts w:asciiTheme="minorHAnsi" w:hAnsiTheme="minorHAnsi" w:cstheme="minorHAnsi"/>
          <w:sz w:val="22"/>
          <w:szCs w:val="22"/>
        </w:rPr>
        <w:t>: H</w:t>
      </w:r>
      <w:r w:rsidRPr="004D7FE6">
        <w:rPr>
          <w:rFonts w:asciiTheme="minorHAnsi" w:hAnsiTheme="minorHAnsi" w:cstheme="minorHAnsi"/>
          <w:sz w:val="22"/>
          <w:szCs w:val="22"/>
        </w:rPr>
        <w:t>ow does the easement-restricted land relate to the agricultural operation or any other agricultural land that is owned or operated?</w:t>
      </w:r>
    </w:p>
    <w:p w14:paraId="549CAF7B" w14:textId="257A655A" w:rsidR="00295D05" w:rsidRPr="004D7FE6" w:rsidRDefault="004B7C51">
      <w:pPr>
        <w:numPr>
          <w:ilvl w:val="0"/>
          <w:numId w:val="1"/>
        </w:numPr>
        <w:rPr>
          <w:rFonts w:asciiTheme="minorHAnsi" w:hAnsiTheme="minorHAnsi" w:cstheme="minorHAnsi"/>
          <w:sz w:val="22"/>
          <w:szCs w:val="22"/>
        </w:rPr>
      </w:pPr>
      <w:r w:rsidRPr="004D7FE6">
        <w:rPr>
          <w:rFonts w:asciiTheme="minorHAnsi" w:hAnsiTheme="minorHAnsi" w:cstheme="minorHAnsi"/>
          <w:sz w:val="22"/>
          <w:szCs w:val="22"/>
        </w:rPr>
        <w:t>Business planning</w:t>
      </w:r>
      <w:r w:rsidR="00A33283" w:rsidRPr="004D7FE6">
        <w:rPr>
          <w:rFonts w:asciiTheme="minorHAnsi" w:hAnsiTheme="minorHAnsi" w:cstheme="minorHAnsi"/>
          <w:sz w:val="22"/>
          <w:szCs w:val="22"/>
        </w:rPr>
        <w:t>: W</w:t>
      </w:r>
      <w:r w:rsidRPr="004D7FE6">
        <w:rPr>
          <w:rFonts w:asciiTheme="minorHAnsi" w:hAnsiTheme="minorHAnsi" w:cstheme="minorHAnsi"/>
          <w:sz w:val="22"/>
          <w:szCs w:val="22"/>
        </w:rPr>
        <w:t>ill the easement provide the flexibility needed to adapt to changing business conditions?</w:t>
      </w:r>
    </w:p>
    <w:p w14:paraId="1A04F4DA" w14:textId="289D9CED" w:rsidR="00295D05" w:rsidRPr="004D7FE6" w:rsidRDefault="004B7C51">
      <w:pPr>
        <w:numPr>
          <w:ilvl w:val="0"/>
          <w:numId w:val="1"/>
        </w:numPr>
        <w:rPr>
          <w:rFonts w:asciiTheme="minorHAnsi" w:hAnsiTheme="minorHAnsi" w:cstheme="minorHAnsi"/>
          <w:sz w:val="22"/>
          <w:szCs w:val="22"/>
        </w:rPr>
      </w:pPr>
      <w:r w:rsidRPr="004D7FE6">
        <w:rPr>
          <w:rFonts w:asciiTheme="minorHAnsi" w:hAnsiTheme="minorHAnsi" w:cstheme="minorHAnsi"/>
          <w:sz w:val="22"/>
          <w:szCs w:val="22"/>
        </w:rPr>
        <w:t>Financial planning</w:t>
      </w:r>
      <w:r w:rsidR="00A33283" w:rsidRPr="004D7FE6">
        <w:rPr>
          <w:rFonts w:asciiTheme="minorHAnsi" w:hAnsiTheme="minorHAnsi" w:cstheme="minorHAnsi"/>
          <w:sz w:val="22"/>
          <w:szCs w:val="22"/>
        </w:rPr>
        <w:t>: W</w:t>
      </w:r>
      <w:r w:rsidRPr="004D7FE6">
        <w:rPr>
          <w:rFonts w:asciiTheme="minorHAnsi" w:hAnsiTheme="minorHAnsi" w:cstheme="minorHAnsi"/>
          <w:sz w:val="22"/>
          <w:szCs w:val="22"/>
        </w:rPr>
        <w:t>ill the sale or other conveyance of an easement affect taxes and other finances?</w:t>
      </w:r>
    </w:p>
    <w:p w14:paraId="4B3209A4" w14:textId="3DE6B3DD" w:rsidR="00295D05" w:rsidRPr="004D7FE6" w:rsidRDefault="004B7C51">
      <w:pPr>
        <w:numPr>
          <w:ilvl w:val="0"/>
          <w:numId w:val="1"/>
        </w:numPr>
        <w:rPr>
          <w:rFonts w:asciiTheme="minorHAnsi" w:hAnsiTheme="minorHAnsi" w:cstheme="minorHAnsi"/>
          <w:sz w:val="22"/>
          <w:szCs w:val="22"/>
        </w:rPr>
      </w:pPr>
      <w:r w:rsidRPr="004D7FE6">
        <w:rPr>
          <w:rFonts w:asciiTheme="minorHAnsi" w:hAnsiTheme="minorHAnsi" w:cstheme="minorHAnsi"/>
          <w:sz w:val="22"/>
          <w:szCs w:val="22"/>
        </w:rPr>
        <w:t>Estate planning</w:t>
      </w:r>
      <w:r w:rsidR="00A33283" w:rsidRPr="004D7FE6">
        <w:rPr>
          <w:rFonts w:asciiTheme="minorHAnsi" w:hAnsiTheme="minorHAnsi" w:cstheme="minorHAnsi"/>
          <w:sz w:val="22"/>
          <w:szCs w:val="22"/>
        </w:rPr>
        <w:t>: I</w:t>
      </w:r>
      <w:r w:rsidRPr="004D7FE6">
        <w:rPr>
          <w:rFonts w:asciiTheme="minorHAnsi" w:hAnsiTheme="minorHAnsi" w:cstheme="minorHAnsi"/>
          <w:sz w:val="22"/>
          <w:szCs w:val="22"/>
        </w:rPr>
        <w:t>s the easement transaction integrated with other estate planning and transfer efforts?</w:t>
      </w:r>
    </w:p>
    <w:p w14:paraId="59A8A621" w14:textId="78048534" w:rsidR="00295D05" w:rsidRPr="004D7FE6" w:rsidRDefault="00295D05">
      <w:pPr>
        <w:rPr>
          <w:rFonts w:asciiTheme="minorHAnsi" w:hAnsiTheme="minorHAnsi" w:cstheme="minorHAnsi"/>
          <w:sz w:val="22"/>
          <w:szCs w:val="22"/>
        </w:rPr>
      </w:pPr>
    </w:p>
    <w:p w14:paraId="60770503" w14:textId="7BEAC888" w:rsidR="004D0ED4" w:rsidRPr="004D7FE6" w:rsidRDefault="004D0ED4">
      <w:pPr>
        <w:rPr>
          <w:rFonts w:asciiTheme="minorHAnsi" w:hAnsiTheme="minorHAnsi" w:cstheme="minorHAnsi"/>
          <w:b/>
          <w:sz w:val="22"/>
          <w:szCs w:val="22"/>
        </w:rPr>
      </w:pPr>
      <w:r w:rsidRPr="004D7FE6">
        <w:rPr>
          <w:rFonts w:asciiTheme="minorHAnsi" w:hAnsiTheme="minorHAnsi" w:cstheme="minorHAnsi"/>
          <w:b/>
          <w:color w:val="364C93"/>
          <w:sz w:val="22"/>
          <w:szCs w:val="22"/>
        </w:rPr>
        <w:t>Capital Gains</w:t>
      </w:r>
    </w:p>
    <w:p w14:paraId="3E1D4895" w14:textId="170A4F4C" w:rsidR="00135037" w:rsidRPr="004D7FE6" w:rsidRDefault="00135037" w:rsidP="00135037">
      <w:pPr>
        <w:rPr>
          <w:sz w:val="22"/>
          <w:szCs w:val="22"/>
        </w:rPr>
      </w:pPr>
      <w:r w:rsidRPr="00550CB5">
        <w:rPr>
          <w:rFonts w:asciiTheme="minorHAnsi" w:hAnsiTheme="minorHAnsi" w:cstheme="minorHAnsi"/>
          <w:sz w:val="22"/>
          <w:szCs w:val="22"/>
        </w:rPr>
        <w:t xml:space="preserve">Participants </w:t>
      </w:r>
      <w:r w:rsidR="005B3457" w:rsidRPr="00550CB5">
        <w:rPr>
          <w:rFonts w:asciiTheme="minorHAnsi" w:hAnsiTheme="minorHAnsi" w:cstheme="minorHAnsi"/>
          <w:sz w:val="22"/>
          <w:szCs w:val="22"/>
        </w:rPr>
        <w:t xml:space="preserve">generally </w:t>
      </w:r>
      <w:r w:rsidRPr="00550CB5">
        <w:rPr>
          <w:rFonts w:asciiTheme="minorHAnsi" w:hAnsiTheme="minorHAnsi" w:cstheme="minorHAnsi"/>
          <w:sz w:val="22"/>
          <w:szCs w:val="22"/>
        </w:rPr>
        <w:t>are paid the appraised value of the easement at the closing in exchange for removing the non-agricultur</w:t>
      </w:r>
      <w:r w:rsidR="00F35C5B" w:rsidRPr="00550CB5">
        <w:rPr>
          <w:rFonts w:asciiTheme="minorHAnsi" w:hAnsiTheme="minorHAnsi" w:cstheme="minorHAnsi"/>
          <w:sz w:val="22"/>
          <w:szCs w:val="22"/>
        </w:rPr>
        <w:t>al</w:t>
      </w:r>
      <w:r w:rsidRPr="00550CB5">
        <w:rPr>
          <w:rFonts w:asciiTheme="minorHAnsi" w:hAnsiTheme="minorHAnsi" w:cstheme="minorHAnsi"/>
          <w:sz w:val="22"/>
          <w:szCs w:val="22"/>
        </w:rPr>
        <w:t xml:space="preserve"> development potential of their property.</w:t>
      </w:r>
      <w:r w:rsidR="008E58D3" w:rsidRPr="00550CB5">
        <w:rPr>
          <w:sz w:val="22"/>
          <w:szCs w:val="22"/>
        </w:rPr>
        <w:t xml:space="preserve"> </w:t>
      </w:r>
      <w:r w:rsidR="008E58D3" w:rsidRPr="00550CB5">
        <w:rPr>
          <w:rFonts w:asciiTheme="minorHAnsi" w:hAnsiTheme="minorHAnsi" w:cstheme="minorHAnsi"/>
          <w:sz w:val="22"/>
          <w:szCs w:val="22"/>
        </w:rPr>
        <w:t>An easement is a capital asset— property expected to increase in value over time. Therefore, the sale of an easement may be subject to federal and state capital gains taxes</w:t>
      </w:r>
      <w:r w:rsidRPr="00550CB5">
        <w:rPr>
          <w:rFonts w:asciiTheme="minorHAnsi" w:hAnsiTheme="minorHAnsi" w:cstheme="minorHAnsi"/>
          <w:sz w:val="22"/>
          <w:szCs w:val="22"/>
        </w:rPr>
        <w:t xml:space="preserve"> to the extent that the proceeds exceed the basis in the property.</w:t>
      </w:r>
      <w:r w:rsidR="00F35C5B" w:rsidRPr="00550CB5">
        <w:rPr>
          <w:rStyle w:val="FootnoteReference"/>
          <w:rFonts w:asciiTheme="minorHAnsi" w:hAnsiTheme="minorHAnsi" w:cstheme="minorHAnsi"/>
          <w:sz w:val="22"/>
          <w:szCs w:val="22"/>
        </w:rPr>
        <w:t xml:space="preserve"> </w:t>
      </w:r>
      <w:r w:rsidR="00F35C5B" w:rsidRPr="00550CB5">
        <w:rPr>
          <w:rStyle w:val="FootnoteReference"/>
          <w:rFonts w:asciiTheme="minorHAnsi" w:hAnsiTheme="minorHAnsi" w:cstheme="minorHAnsi"/>
          <w:sz w:val="22"/>
          <w:szCs w:val="22"/>
        </w:rPr>
        <w:footnoteReference w:id="2"/>
      </w:r>
      <w:r w:rsidRPr="00550CB5">
        <w:rPr>
          <w:rFonts w:asciiTheme="minorHAnsi" w:hAnsiTheme="minorHAnsi" w:cstheme="minorHAnsi"/>
          <w:sz w:val="22"/>
          <w:szCs w:val="22"/>
        </w:rPr>
        <w:t xml:space="preserve"> </w:t>
      </w:r>
      <w:r w:rsidR="000D3564" w:rsidRPr="00550CB5">
        <w:rPr>
          <w:rFonts w:asciiTheme="minorHAnsi" w:hAnsiTheme="minorHAnsi" w:cstheme="minorHAnsi"/>
          <w:sz w:val="22"/>
          <w:szCs w:val="22"/>
        </w:rPr>
        <w:t>IRS Revenue Ruling 77-414allows t</w:t>
      </w:r>
      <w:r w:rsidR="00F35C5B" w:rsidRPr="00550CB5">
        <w:rPr>
          <w:rFonts w:asciiTheme="minorHAnsi" w:hAnsiTheme="minorHAnsi" w:cstheme="minorHAnsi"/>
          <w:sz w:val="22"/>
          <w:szCs w:val="22"/>
        </w:rPr>
        <w:t xml:space="preserve">he </w:t>
      </w:r>
      <w:r w:rsidR="00F35C5B" w:rsidRPr="00550CB5">
        <w:rPr>
          <w:rFonts w:asciiTheme="minorHAnsi" w:hAnsiTheme="minorHAnsi" w:cstheme="minorHAnsi"/>
          <w:i/>
          <w:sz w:val="22"/>
          <w:szCs w:val="22"/>
        </w:rPr>
        <w:t>entire</w:t>
      </w:r>
      <w:r w:rsidR="00F35C5B" w:rsidRPr="00550CB5">
        <w:rPr>
          <w:rFonts w:asciiTheme="minorHAnsi" w:hAnsiTheme="minorHAnsi" w:cstheme="minorHAnsi"/>
          <w:sz w:val="22"/>
          <w:szCs w:val="22"/>
        </w:rPr>
        <w:t xml:space="preserve"> basis</w:t>
      </w:r>
      <w:r w:rsidR="002A7188" w:rsidRPr="00550CB5">
        <w:rPr>
          <w:rFonts w:asciiTheme="minorHAnsi" w:hAnsiTheme="minorHAnsi" w:cstheme="minorHAnsi"/>
          <w:sz w:val="22"/>
          <w:szCs w:val="22"/>
        </w:rPr>
        <w:t>—instead of the portion that could be attributed to the conservation easement</w:t>
      </w:r>
      <w:r w:rsidR="00A94CF5" w:rsidRPr="00550CB5">
        <w:rPr>
          <w:rStyle w:val="FootnoteReference"/>
          <w:rFonts w:asciiTheme="minorHAnsi" w:hAnsiTheme="minorHAnsi" w:cstheme="minorHAnsi"/>
          <w:sz w:val="22"/>
          <w:szCs w:val="22"/>
        </w:rPr>
        <w:footnoteReference w:id="3"/>
      </w:r>
      <w:r w:rsidR="00A94CF5" w:rsidRPr="00550CB5">
        <w:rPr>
          <w:rFonts w:asciiTheme="minorHAnsi" w:hAnsiTheme="minorHAnsi" w:cstheme="minorHAnsi"/>
          <w:sz w:val="22"/>
          <w:szCs w:val="22"/>
        </w:rPr>
        <w:t xml:space="preserve"> </w:t>
      </w:r>
      <w:r w:rsidR="002A7188" w:rsidRPr="00550CB5">
        <w:rPr>
          <w:rFonts w:asciiTheme="minorHAnsi" w:hAnsiTheme="minorHAnsi" w:cstheme="minorHAnsi"/>
          <w:sz w:val="22"/>
          <w:szCs w:val="22"/>
        </w:rPr>
        <w:t>—</w:t>
      </w:r>
      <w:r w:rsidR="00F42A69" w:rsidRPr="00550CB5">
        <w:rPr>
          <w:rFonts w:asciiTheme="minorHAnsi" w:hAnsiTheme="minorHAnsi" w:cstheme="minorHAnsi"/>
          <w:sz w:val="22"/>
          <w:szCs w:val="22"/>
        </w:rPr>
        <w:t xml:space="preserve">to be </w:t>
      </w:r>
      <w:r w:rsidR="00450857" w:rsidRPr="00550CB5">
        <w:rPr>
          <w:rFonts w:asciiTheme="minorHAnsi" w:hAnsiTheme="minorHAnsi" w:cstheme="minorHAnsi"/>
          <w:sz w:val="22"/>
          <w:szCs w:val="22"/>
        </w:rPr>
        <w:t>deducted from</w:t>
      </w:r>
      <w:r w:rsidR="00F42A69" w:rsidRPr="00550CB5">
        <w:rPr>
          <w:rFonts w:asciiTheme="minorHAnsi" w:hAnsiTheme="minorHAnsi" w:cstheme="minorHAnsi"/>
          <w:sz w:val="22"/>
          <w:szCs w:val="22"/>
        </w:rPr>
        <w:t xml:space="preserve"> the proceeds</w:t>
      </w:r>
      <w:r w:rsidR="00D03707" w:rsidRPr="00550CB5">
        <w:rPr>
          <w:rFonts w:asciiTheme="minorHAnsi" w:hAnsiTheme="minorHAnsi" w:cstheme="minorHAnsi"/>
          <w:sz w:val="22"/>
          <w:szCs w:val="22"/>
        </w:rPr>
        <w:t>.</w:t>
      </w:r>
      <w:r w:rsidR="002A7188" w:rsidRPr="00550CB5">
        <w:rPr>
          <w:rFonts w:asciiTheme="minorHAnsi" w:hAnsiTheme="minorHAnsi" w:cstheme="minorHAnsi"/>
          <w:sz w:val="22"/>
          <w:szCs w:val="22"/>
        </w:rPr>
        <w:t xml:space="preserve"> </w:t>
      </w:r>
      <w:r w:rsidR="0057476D" w:rsidRPr="00550CB5">
        <w:rPr>
          <w:rFonts w:asciiTheme="minorHAnsi" w:hAnsiTheme="minorHAnsi" w:cstheme="minorHAnsi"/>
          <w:sz w:val="22"/>
          <w:szCs w:val="22"/>
        </w:rPr>
        <w:t>T</w:t>
      </w:r>
      <w:r w:rsidRPr="00550CB5">
        <w:rPr>
          <w:rFonts w:asciiTheme="minorHAnsi" w:hAnsiTheme="minorHAnsi" w:cstheme="minorHAnsi"/>
          <w:sz w:val="22"/>
          <w:szCs w:val="22"/>
        </w:rPr>
        <w:t xml:space="preserve">his means that </w:t>
      </w:r>
      <w:r w:rsidRPr="004D7FE6">
        <w:rPr>
          <w:rFonts w:asciiTheme="minorHAnsi" w:hAnsiTheme="minorHAnsi" w:cstheme="minorHAnsi"/>
          <w:sz w:val="22"/>
          <w:szCs w:val="22"/>
        </w:rPr>
        <w:t xml:space="preserve">any capital gain will be reduced by the amount of the basis. For example, if </w:t>
      </w:r>
      <w:r w:rsidR="0057476D" w:rsidRPr="004D7FE6">
        <w:rPr>
          <w:rFonts w:asciiTheme="minorHAnsi" w:hAnsiTheme="minorHAnsi" w:cstheme="minorHAnsi"/>
          <w:sz w:val="22"/>
          <w:szCs w:val="22"/>
        </w:rPr>
        <w:t>A</w:t>
      </w:r>
      <w:r w:rsidRPr="004D7FE6">
        <w:rPr>
          <w:rFonts w:asciiTheme="minorHAnsi" w:hAnsiTheme="minorHAnsi" w:cstheme="minorHAnsi"/>
          <w:sz w:val="22"/>
          <w:szCs w:val="22"/>
        </w:rPr>
        <w:t xml:space="preserve">gricultural Landowner A sells an easement on Greenacre for $1,000 and his basis in the property is $100, he would owe federal and state capital gains </w:t>
      </w:r>
      <w:r w:rsidRPr="004D7FE6">
        <w:rPr>
          <w:rFonts w:asciiTheme="minorHAnsi" w:hAnsiTheme="minorHAnsi" w:cstheme="minorHAnsi"/>
          <w:sz w:val="22"/>
          <w:szCs w:val="22"/>
        </w:rPr>
        <w:lastRenderedPageBreak/>
        <w:t>tax on $900. Federal capital gains tax is currently up to 20</w:t>
      </w:r>
      <w:r w:rsidR="00F35C5B" w:rsidRPr="004D7FE6">
        <w:rPr>
          <w:rFonts w:asciiTheme="minorHAnsi" w:hAnsiTheme="minorHAnsi" w:cstheme="minorHAnsi"/>
          <w:sz w:val="22"/>
          <w:szCs w:val="22"/>
        </w:rPr>
        <w:t xml:space="preserve"> percent</w:t>
      </w:r>
      <w:r w:rsidRPr="004D7FE6">
        <w:rPr>
          <w:rFonts w:asciiTheme="minorHAnsi" w:hAnsiTheme="minorHAnsi" w:cstheme="minorHAnsi"/>
          <w:sz w:val="22"/>
          <w:szCs w:val="22"/>
        </w:rPr>
        <w:t xml:space="preserve"> for assets held for at least one year. Many states impose capital gains taxes as well.</w:t>
      </w:r>
    </w:p>
    <w:p w14:paraId="7EAD0C89" w14:textId="77777777" w:rsidR="001A7C5C" w:rsidRPr="004D7FE6" w:rsidRDefault="001A7C5C">
      <w:pPr>
        <w:rPr>
          <w:rFonts w:asciiTheme="minorHAnsi" w:hAnsiTheme="minorHAnsi" w:cstheme="minorHAnsi"/>
          <w:sz w:val="22"/>
          <w:szCs w:val="22"/>
        </w:rPr>
      </w:pPr>
    </w:p>
    <w:p w14:paraId="265177C7" w14:textId="77777777" w:rsidR="004D0ED4" w:rsidRPr="004D7FE6" w:rsidRDefault="004D0ED4">
      <w:pPr>
        <w:rPr>
          <w:rFonts w:asciiTheme="minorHAnsi" w:hAnsiTheme="minorHAnsi" w:cstheme="minorHAnsi"/>
          <w:b/>
          <w:sz w:val="22"/>
          <w:szCs w:val="22"/>
        </w:rPr>
      </w:pPr>
      <w:r w:rsidRPr="004D7FE6">
        <w:rPr>
          <w:rFonts w:asciiTheme="minorHAnsi" w:hAnsiTheme="minorHAnsi" w:cstheme="minorHAnsi"/>
          <w:b/>
          <w:color w:val="364C93"/>
          <w:sz w:val="22"/>
          <w:szCs w:val="22"/>
        </w:rPr>
        <w:t>Like-Kind Exchange</w:t>
      </w:r>
    </w:p>
    <w:p w14:paraId="4FC6D968" w14:textId="52F2D8A7" w:rsidR="00BD645E" w:rsidRPr="004D7FE6" w:rsidRDefault="00BD645E">
      <w:pPr>
        <w:rPr>
          <w:rFonts w:asciiTheme="minorHAnsi" w:hAnsiTheme="minorHAnsi" w:cstheme="minorHAnsi"/>
          <w:sz w:val="22"/>
          <w:szCs w:val="22"/>
        </w:rPr>
      </w:pPr>
      <w:r w:rsidRPr="004D7FE6">
        <w:rPr>
          <w:rFonts w:asciiTheme="minorHAnsi" w:hAnsiTheme="minorHAnsi" w:cstheme="minorHAnsi"/>
          <w:sz w:val="22"/>
          <w:szCs w:val="22"/>
        </w:rPr>
        <w:t xml:space="preserve">Because an easement is considered an interest in property in </w:t>
      </w:r>
      <w:r w:rsidR="00B63365" w:rsidRPr="004D7FE6">
        <w:rPr>
          <w:rFonts w:asciiTheme="minorHAnsi" w:hAnsiTheme="minorHAnsi" w:cstheme="minorHAnsi"/>
          <w:sz w:val="22"/>
          <w:szCs w:val="22"/>
        </w:rPr>
        <w:t>most states</w:t>
      </w:r>
      <w:r w:rsidRPr="004D7FE6">
        <w:rPr>
          <w:rFonts w:asciiTheme="minorHAnsi" w:hAnsiTheme="minorHAnsi" w:cstheme="minorHAnsi"/>
          <w:sz w:val="22"/>
          <w:szCs w:val="22"/>
        </w:rPr>
        <w:t xml:space="preserve">, the landowner may utilize a 1031 like-kind exchange to trade the value of the easement for additional land. </w:t>
      </w:r>
      <w:r w:rsidR="007751D1" w:rsidRPr="004D7FE6">
        <w:rPr>
          <w:rFonts w:asciiTheme="minorHAnsi" w:hAnsiTheme="minorHAnsi" w:cstheme="minorHAnsi"/>
          <w:sz w:val="22"/>
          <w:szCs w:val="22"/>
        </w:rPr>
        <w:t>T</w:t>
      </w:r>
      <w:r w:rsidRPr="004D7FE6">
        <w:rPr>
          <w:rFonts w:asciiTheme="minorHAnsi" w:hAnsiTheme="minorHAnsi" w:cstheme="minorHAnsi"/>
          <w:sz w:val="22"/>
          <w:szCs w:val="22"/>
        </w:rPr>
        <w:t xml:space="preserve">he taxpayer will not have to recognize gain on the sale of the easement and will need to allocate </w:t>
      </w:r>
      <w:r w:rsidR="004D0ED4" w:rsidRPr="004D7FE6">
        <w:rPr>
          <w:rFonts w:asciiTheme="minorHAnsi" w:hAnsiTheme="minorHAnsi" w:cstheme="minorHAnsi"/>
          <w:sz w:val="22"/>
          <w:szCs w:val="22"/>
        </w:rPr>
        <w:t>the</w:t>
      </w:r>
      <w:r w:rsidR="004D0ED4" w:rsidRPr="004D7FE6">
        <w:rPr>
          <w:rFonts w:asciiTheme="minorHAnsi" w:hAnsiTheme="minorHAnsi" w:cstheme="minorHAnsi"/>
          <w:color w:val="0070C0"/>
          <w:sz w:val="22"/>
          <w:szCs w:val="22"/>
        </w:rPr>
        <w:t xml:space="preserve"> </w:t>
      </w:r>
      <w:r w:rsidRPr="004D7FE6">
        <w:rPr>
          <w:rFonts w:asciiTheme="minorHAnsi" w:hAnsiTheme="minorHAnsi" w:cstheme="minorHAnsi"/>
          <w:sz w:val="22"/>
          <w:szCs w:val="22"/>
        </w:rPr>
        <w:t xml:space="preserve">basis between the retained acreage (now subject to the </w:t>
      </w:r>
      <w:r w:rsidR="00BE6E68" w:rsidRPr="004D7FE6">
        <w:rPr>
          <w:rFonts w:asciiTheme="minorHAnsi" w:hAnsiTheme="minorHAnsi" w:cstheme="minorHAnsi"/>
          <w:sz w:val="22"/>
          <w:szCs w:val="22"/>
        </w:rPr>
        <w:t xml:space="preserve">conservation easement) and the </w:t>
      </w:r>
      <w:r w:rsidRPr="004D7FE6">
        <w:rPr>
          <w:rFonts w:asciiTheme="minorHAnsi" w:hAnsiTheme="minorHAnsi" w:cstheme="minorHAnsi"/>
          <w:sz w:val="22"/>
          <w:szCs w:val="22"/>
        </w:rPr>
        <w:t>carryover basis of the easement now allocated to the newly acquired property.</w:t>
      </w:r>
      <w:r w:rsidR="00FE76EE" w:rsidRPr="004D7FE6">
        <w:rPr>
          <w:rStyle w:val="FootnoteReference"/>
          <w:rFonts w:asciiTheme="minorHAnsi" w:hAnsiTheme="minorHAnsi" w:cstheme="minorHAnsi"/>
          <w:sz w:val="22"/>
          <w:szCs w:val="22"/>
        </w:rPr>
        <w:footnoteReference w:id="4"/>
      </w:r>
      <w:r w:rsidRPr="004D7FE6">
        <w:rPr>
          <w:rFonts w:asciiTheme="minorHAnsi" w:hAnsiTheme="minorHAnsi" w:cstheme="minorHAnsi"/>
          <w:sz w:val="22"/>
          <w:szCs w:val="22"/>
        </w:rPr>
        <w:t xml:space="preserve"> </w:t>
      </w:r>
    </w:p>
    <w:p w14:paraId="43CE8C80" w14:textId="09000D3E" w:rsidR="007751D1" w:rsidRPr="004D7FE6" w:rsidRDefault="007751D1">
      <w:pPr>
        <w:rPr>
          <w:rFonts w:asciiTheme="minorHAnsi" w:hAnsiTheme="minorHAnsi" w:cstheme="minorHAnsi"/>
          <w:sz w:val="22"/>
          <w:szCs w:val="22"/>
        </w:rPr>
      </w:pP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680"/>
      </w:tblGrid>
      <w:tr w:rsidR="006F32B4" w:rsidRPr="004D7FE6" w14:paraId="2375CF88" w14:textId="77777777" w:rsidTr="00AB6C3E">
        <w:trPr>
          <w:trHeight w:val="450"/>
        </w:trPr>
        <w:tc>
          <w:tcPr>
            <w:tcW w:w="5130" w:type="dxa"/>
          </w:tcPr>
          <w:p w14:paraId="67AD76D5" w14:textId="77777777" w:rsidR="006F32B4" w:rsidRPr="00C51572" w:rsidRDefault="006F32B4" w:rsidP="00AB6C3E">
            <w:pPr>
              <w:pStyle w:val="Heading1"/>
              <w:jc w:val="center"/>
              <w:rPr>
                <w:rFonts w:asciiTheme="minorHAnsi" w:hAnsiTheme="minorHAnsi" w:cstheme="minorHAnsi"/>
                <w:smallCaps/>
                <w:u w:val="none"/>
              </w:rPr>
            </w:pPr>
            <w:r w:rsidRPr="00C51572">
              <w:rPr>
                <w:rFonts w:asciiTheme="minorHAnsi" w:hAnsiTheme="minorHAnsi" w:cstheme="minorHAnsi"/>
                <w:smallCaps/>
                <w:color w:val="679A47"/>
                <w:u w:val="none"/>
              </w:rPr>
              <w:t>Benefits</w:t>
            </w:r>
          </w:p>
        </w:tc>
        <w:tc>
          <w:tcPr>
            <w:tcW w:w="4680" w:type="dxa"/>
          </w:tcPr>
          <w:p w14:paraId="04B4B44E" w14:textId="77777777" w:rsidR="006F32B4" w:rsidRPr="00C51572" w:rsidRDefault="006F32B4" w:rsidP="00AB6C3E">
            <w:pPr>
              <w:pStyle w:val="Heading1"/>
              <w:jc w:val="center"/>
              <w:rPr>
                <w:rFonts w:asciiTheme="minorHAnsi" w:hAnsiTheme="minorHAnsi" w:cstheme="minorHAnsi"/>
                <w:smallCaps/>
                <w:u w:val="none"/>
              </w:rPr>
            </w:pPr>
            <w:r w:rsidRPr="00C51572">
              <w:rPr>
                <w:rFonts w:asciiTheme="minorHAnsi" w:hAnsiTheme="minorHAnsi" w:cstheme="minorHAnsi"/>
                <w:smallCaps/>
                <w:color w:val="679A47"/>
                <w:u w:val="none"/>
              </w:rPr>
              <w:t>Drawbacks</w:t>
            </w:r>
          </w:p>
        </w:tc>
      </w:tr>
      <w:tr w:rsidR="006F32B4" w:rsidRPr="004D7FE6" w14:paraId="1CA3AA35" w14:textId="77777777" w:rsidTr="00AB6C3E">
        <w:trPr>
          <w:trHeight w:val="2988"/>
        </w:trPr>
        <w:tc>
          <w:tcPr>
            <w:tcW w:w="5130" w:type="dxa"/>
          </w:tcPr>
          <w:p w14:paraId="741D1681" w14:textId="28D479F5" w:rsidR="006F32B4" w:rsidRPr="00AB6C3E" w:rsidRDefault="006F32B4" w:rsidP="0005465A">
            <w:pPr>
              <w:numPr>
                <w:ilvl w:val="0"/>
                <w:numId w:val="4"/>
              </w:numPr>
              <w:spacing w:before="40"/>
              <w:rPr>
                <w:rFonts w:asciiTheme="minorHAnsi" w:hAnsiTheme="minorHAnsi" w:cstheme="minorHAnsi"/>
                <w:sz w:val="22"/>
                <w:szCs w:val="22"/>
              </w:rPr>
            </w:pPr>
            <w:r w:rsidRPr="004D7FE6">
              <w:rPr>
                <w:rFonts w:asciiTheme="minorHAnsi" w:hAnsiTheme="minorHAnsi" w:cstheme="minorHAnsi"/>
                <w:sz w:val="22"/>
                <w:szCs w:val="22"/>
              </w:rPr>
              <w:t>Considering the sale of an easement can serve as a catalyst for landowners to develop an estate plan.</w:t>
            </w:r>
          </w:p>
          <w:p w14:paraId="4E4D1E45" w14:textId="4389F865" w:rsidR="006F32B4" w:rsidRPr="00AB6C3E" w:rsidRDefault="006F32B4" w:rsidP="0005465A">
            <w:pPr>
              <w:numPr>
                <w:ilvl w:val="0"/>
                <w:numId w:val="4"/>
              </w:numPr>
              <w:spacing w:before="40"/>
              <w:rPr>
                <w:rFonts w:asciiTheme="minorHAnsi" w:hAnsiTheme="minorHAnsi" w:cstheme="minorHAnsi"/>
                <w:sz w:val="22"/>
                <w:szCs w:val="22"/>
              </w:rPr>
            </w:pPr>
            <w:r w:rsidRPr="004D7FE6">
              <w:rPr>
                <w:rFonts w:asciiTheme="minorHAnsi" w:hAnsiTheme="minorHAnsi" w:cstheme="minorHAnsi"/>
                <w:sz w:val="22"/>
                <w:szCs w:val="22"/>
              </w:rPr>
              <w:t xml:space="preserve">Selling an agricultural conservation easement can generate cash for retirement or life </w:t>
            </w:r>
            <w:proofErr w:type="gramStart"/>
            <w:r w:rsidRPr="004D7FE6">
              <w:rPr>
                <w:rFonts w:asciiTheme="minorHAnsi" w:hAnsiTheme="minorHAnsi" w:cstheme="minorHAnsi"/>
                <w:sz w:val="22"/>
                <w:szCs w:val="22"/>
              </w:rPr>
              <w:t>insurance, or</w:t>
            </w:r>
            <w:proofErr w:type="gramEnd"/>
            <w:r w:rsidRPr="004D7FE6">
              <w:rPr>
                <w:rFonts w:asciiTheme="minorHAnsi" w:hAnsiTheme="minorHAnsi" w:cstheme="minorHAnsi"/>
                <w:sz w:val="22"/>
                <w:szCs w:val="22"/>
              </w:rPr>
              <w:t xml:space="preserve"> provide liquid assets that can be given to heirs – even those who do not wish to farm.</w:t>
            </w:r>
          </w:p>
          <w:p w14:paraId="19522212" w14:textId="738C675F" w:rsidR="004D7FE6" w:rsidRPr="004D7FE6" w:rsidRDefault="006F32B4" w:rsidP="0005465A">
            <w:pPr>
              <w:numPr>
                <w:ilvl w:val="0"/>
                <w:numId w:val="4"/>
              </w:numPr>
              <w:spacing w:before="40"/>
              <w:rPr>
                <w:rFonts w:asciiTheme="minorHAnsi" w:hAnsiTheme="minorHAnsi" w:cstheme="minorHAnsi"/>
                <w:sz w:val="22"/>
                <w:szCs w:val="22"/>
              </w:rPr>
            </w:pPr>
            <w:r w:rsidRPr="004D7FE6">
              <w:rPr>
                <w:rFonts w:asciiTheme="minorHAnsi" w:hAnsiTheme="minorHAnsi" w:cstheme="minorHAnsi"/>
                <w:sz w:val="22"/>
                <w:szCs w:val="22"/>
              </w:rPr>
              <w:t>Selling an agricultural conservation easement can help facilitate intergenerational farm transfer by reducing future market value to agricultural or restricted land value.</w:t>
            </w:r>
          </w:p>
          <w:p w14:paraId="70A79BEE" w14:textId="315EB3B6" w:rsidR="004D7FE6" w:rsidRPr="004D7FE6" w:rsidRDefault="004D7FE6" w:rsidP="0005465A">
            <w:pPr>
              <w:spacing w:before="40"/>
              <w:rPr>
                <w:sz w:val="22"/>
                <w:szCs w:val="22"/>
              </w:rPr>
            </w:pPr>
          </w:p>
        </w:tc>
        <w:tc>
          <w:tcPr>
            <w:tcW w:w="4680" w:type="dxa"/>
          </w:tcPr>
          <w:p w14:paraId="49D06288" w14:textId="2EFD9D05" w:rsidR="006F32B4" w:rsidRPr="00AB6C3E" w:rsidRDefault="006F32B4" w:rsidP="0005465A">
            <w:pPr>
              <w:numPr>
                <w:ilvl w:val="0"/>
                <w:numId w:val="5"/>
              </w:numPr>
              <w:spacing w:before="40"/>
              <w:rPr>
                <w:rFonts w:asciiTheme="minorHAnsi" w:hAnsiTheme="minorHAnsi" w:cstheme="minorHAnsi"/>
                <w:sz w:val="22"/>
                <w:szCs w:val="22"/>
              </w:rPr>
            </w:pPr>
            <w:r w:rsidRPr="004D7FE6">
              <w:rPr>
                <w:rFonts w:asciiTheme="minorHAnsi" w:hAnsiTheme="minorHAnsi" w:cstheme="minorHAnsi"/>
                <w:sz w:val="22"/>
                <w:szCs w:val="22"/>
              </w:rPr>
              <w:t>Selling an easement is considered the sale of a capital asset and is treated as capital gain to the extent that the proceeds exceed the basis in the property. There is currently no exclusion for gain on the sale of an agricultural conservation easement.</w:t>
            </w:r>
            <w:r w:rsidR="008C79E4" w:rsidRPr="004D7FE6">
              <w:rPr>
                <w:rStyle w:val="FootnoteReference"/>
                <w:rFonts w:asciiTheme="minorHAnsi" w:hAnsiTheme="minorHAnsi" w:cstheme="minorHAnsi"/>
                <w:sz w:val="22"/>
                <w:szCs w:val="22"/>
              </w:rPr>
              <w:footnoteReference w:id="5"/>
            </w:r>
          </w:p>
          <w:p w14:paraId="0691548D" w14:textId="7A72AC40" w:rsidR="006F32B4" w:rsidRPr="004D7FE6" w:rsidRDefault="006F32B4" w:rsidP="0005465A">
            <w:pPr>
              <w:numPr>
                <w:ilvl w:val="0"/>
                <w:numId w:val="5"/>
              </w:numPr>
              <w:spacing w:before="40"/>
              <w:rPr>
                <w:rFonts w:asciiTheme="minorHAnsi" w:hAnsiTheme="minorHAnsi" w:cstheme="minorHAnsi"/>
                <w:sz w:val="22"/>
                <w:szCs w:val="22"/>
              </w:rPr>
            </w:pPr>
            <w:r w:rsidRPr="004D7FE6">
              <w:rPr>
                <w:rFonts w:asciiTheme="minorHAnsi" w:hAnsiTheme="minorHAnsi" w:cstheme="minorHAnsi"/>
                <w:sz w:val="22"/>
                <w:szCs w:val="22"/>
              </w:rPr>
              <w:t>While cost-share payments are excluded from income under Section 126 of the Internal Revenue Code, this provision does not apply to easement payments as set forth in a tax court decision.</w:t>
            </w:r>
            <w:r w:rsidR="008C79E4" w:rsidRPr="004D7FE6">
              <w:rPr>
                <w:rStyle w:val="FootnoteReference"/>
                <w:rFonts w:asciiTheme="minorHAnsi" w:hAnsiTheme="minorHAnsi" w:cstheme="minorHAnsi"/>
                <w:sz w:val="22"/>
                <w:szCs w:val="22"/>
              </w:rPr>
              <w:footnoteReference w:id="6"/>
            </w:r>
            <w:r w:rsidRPr="004D7FE6">
              <w:rPr>
                <w:rFonts w:asciiTheme="minorHAnsi" w:hAnsiTheme="minorHAnsi" w:cstheme="minorHAnsi"/>
                <w:sz w:val="22"/>
                <w:szCs w:val="22"/>
              </w:rPr>
              <w:t xml:space="preserve"> </w:t>
            </w:r>
          </w:p>
          <w:p w14:paraId="1065636B" w14:textId="77777777" w:rsidR="006F32B4" w:rsidRPr="004D7FE6" w:rsidRDefault="006F32B4" w:rsidP="0005465A">
            <w:pPr>
              <w:spacing w:before="40"/>
              <w:rPr>
                <w:sz w:val="22"/>
                <w:szCs w:val="22"/>
              </w:rPr>
            </w:pPr>
          </w:p>
        </w:tc>
      </w:tr>
    </w:tbl>
    <w:p w14:paraId="41B7D1BB" w14:textId="61B5C069" w:rsidR="004D7FE6" w:rsidRDefault="004D7FE6" w:rsidP="00D77AD4">
      <w:pPr>
        <w:pStyle w:val="Heading1"/>
        <w:rPr>
          <w:rFonts w:asciiTheme="minorHAnsi" w:hAnsiTheme="minorHAnsi" w:cstheme="minorHAnsi"/>
          <w:i/>
          <w:color w:val="364C93"/>
          <w:sz w:val="22"/>
          <w:szCs w:val="22"/>
          <w:u w:val="none"/>
        </w:rPr>
      </w:pPr>
    </w:p>
    <w:p w14:paraId="2515F18F" w14:textId="7D1B9718" w:rsidR="00AB6C3E" w:rsidRDefault="00AB6C3E" w:rsidP="00D77AD4">
      <w:pPr>
        <w:pStyle w:val="Heading1"/>
        <w:rPr>
          <w:rFonts w:asciiTheme="minorHAnsi" w:hAnsiTheme="minorHAnsi" w:cstheme="minorHAnsi"/>
          <w:i/>
          <w:color w:val="364C93"/>
          <w:sz w:val="22"/>
          <w:szCs w:val="22"/>
          <w:u w:val="none"/>
        </w:rPr>
      </w:pPr>
    </w:p>
    <w:p w14:paraId="2A8A2963" w14:textId="5BCA786F" w:rsidR="00AB6C3E" w:rsidRDefault="00AB6C3E" w:rsidP="00D77AD4">
      <w:pPr>
        <w:pStyle w:val="Heading1"/>
        <w:rPr>
          <w:rFonts w:asciiTheme="minorHAnsi" w:hAnsiTheme="minorHAnsi" w:cstheme="minorHAnsi"/>
          <w:i/>
          <w:color w:val="364C93"/>
          <w:sz w:val="22"/>
          <w:szCs w:val="22"/>
          <w:u w:val="none"/>
        </w:rPr>
      </w:pPr>
    </w:p>
    <w:p w14:paraId="2A8ACFF1" w14:textId="1D389C3C" w:rsidR="00463D5E" w:rsidRPr="004D7FE6" w:rsidRDefault="00DA78E1" w:rsidP="00D77AD4">
      <w:pPr>
        <w:pStyle w:val="Heading1"/>
        <w:rPr>
          <w:rFonts w:asciiTheme="minorHAnsi" w:hAnsiTheme="minorHAnsi" w:cstheme="minorHAnsi"/>
          <w:b w:val="0"/>
          <w:i/>
          <w:sz w:val="22"/>
          <w:szCs w:val="22"/>
          <w:u w:val="none"/>
        </w:rPr>
      </w:pPr>
      <w:r w:rsidRPr="004D7FE6">
        <w:rPr>
          <w:rFonts w:asciiTheme="minorHAnsi" w:hAnsiTheme="minorHAnsi" w:cstheme="minorHAnsi"/>
          <w:b w:val="0"/>
          <w:i/>
          <w:sz w:val="22"/>
          <w:szCs w:val="22"/>
          <w:u w:val="none"/>
        </w:rPr>
        <w:t xml:space="preserve"> </w:t>
      </w:r>
    </w:p>
    <w:p w14:paraId="4E7C93B4" w14:textId="34EE9599" w:rsidR="00A33283" w:rsidRPr="004D7FE6" w:rsidRDefault="00A33283">
      <w:pPr>
        <w:rPr>
          <w:rFonts w:asciiTheme="minorHAnsi" w:hAnsiTheme="minorHAnsi" w:cstheme="minorHAnsi"/>
          <w:sz w:val="22"/>
          <w:szCs w:val="22"/>
        </w:rPr>
      </w:pPr>
    </w:p>
    <w:p w14:paraId="485F8F9F" w14:textId="755C252A" w:rsidR="00A11046" w:rsidRDefault="00A11046" w:rsidP="00A11046">
      <w:pPr>
        <w:rPr>
          <w:rFonts w:asciiTheme="minorHAnsi" w:hAnsiTheme="minorHAnsi" w:cstheme="minorHAnsi"/>
          <w:i/>
          <w:sz w:val="22"/>
          <w:szCs w:val="22"/>
        </w:rPr>
      </w:pPr>
    </w:p>
    <w:p w14:paraId="77A659FC" w14:textId="4C8AD338" w:rsidR="00A11046" w:rsidRDefault="00A11046" w:rsidP="00A11046">
      <w:pPr>
        <w:ind w:left="6480" w:firstLine="720"/>
        <w:rPr>
          <w:rFonts w:asciiTheme="minorHAnsi" w:hAnsiTheme="minorHAnsi"/>
          <w:color w:val="679A47"/>
          <w:sz w:val="22"/>
          <w:szCs w:val="22"/>
        </w:rPr>
      </w:pPr>
    </w:p>
    <w:p w14:paraId="2E560A11" w14:textId="3D4589CB" w:rsidR="00A11046" w:rsidRDefault="00A11046" w:rsidP="00A11046">
      <w:pPr>
        <w:ind w:left="6480" w:firstLine="720"/>
        <w:rPr>
          <w:rFonts w:asciiTheme="minorHAnsi" w:hAnsiTheme="minorHAnsi"/>
          <w:color w:val="679A47"/>
          <w:sz w:val="22"/>
          <w:szCs w:val="22"/>
        </w:rPr>
      </w:pPr>
    </w:p>
    <w:p w14:paraId="1B92B032" w14:textId="022ADAA5" w:rsidR="00A11046" w:rsidRDefault="005C441D" w:rsidP="005C441D">
      <w:pPr>
        <w:ind w:left="6480" w:firstLine="720"/>
        <w:rPr>
          <w:rFonts w:asciiTheme="minorHAnsi" w:hAnsiTheme="minorHAnsi"/>
          <w:color w:val="679A47"/>
          <w:sz w:val="22"/>
          <w:szCs w:val="22"/>
        </w:rPr>
      </w:pPr>
      <w:r w:rsidRPr="0005465A">
        <w:rPr>
          <w:rFonts w:asciiTheme="minorHAnsi" w:hAnsiTheme="minorHAnsi" w:cstheme="minorHAnsi"/>
          <w:i/>
          <w:noProof/>
          <w:color w:val="364C93"/>
          <w:sz w:val="22"/>
          <w:szCs w:val="22"/>
        </w:rPr>
        <mc:AlternateContent>
          <mc:Choice Requires="wps">
            <w:drawing>
              <wp:anchor distT="45720" distB="45720" distL="114300" distR="114300" simplePos="0" relativeHeight="251661312" behindDoc="0" locked="0" layoutInCell="1" allowOverlap="1" wp14:anchorId="225B1725" wp14:editId="72DD6346">
                <wp:simplePos x="0" y="0"/>
                <wp:positionH relativeFrom="column">
                  <wp:posOffset>57150</wp:posOffset>
                </wp:positionH>
                <wp:positionV relativeFrom="paragraph">
                  <wp:posOffset>356235</wp:posOffset>
                </wp:positionV>
                <wp:extent cx="5734050" cy="784225"/>
                <wp:effectExtent l="0" t="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84225"/>
                        </a:xfrm>
                        <a:prstGeom prst="rect">
                          <a:avLst/>
                        </a:prstGeom>
                        <a:solidFill>
                          <a:srgbClr val="FFFFFF"/>
                        </a:solidFill>
                        <a:ln w="9525">
                          <a:solidFill>
                            <a:srgbClr val="679A47"/>
                          </a:solidFill>
                          <a:miter lim="800000"/>
                          <a:headEnd/>
                          <a:tailEnd/>
                        </a:ln>
                      </wps:spPr>
                      <wps:txbx>
                        <w:txbxContent>
                          <w:p w14:paraId="56F4057F" w14:textId="658899CF" w:rsidR="0005465A" w:rsidRDefault="0005465A">
                            <w:pPr>
                              <w:rPr>
                                <w:rFonts w:asciiTheme="minorHAnsi" w:hAnsiTheme="minorHAnsi" w:cstheme="minorHAnsi"/>
                                <w:i/>
                                <w:sz w:val="22"/>
                                <w:szCs w:val="22"/>
                              </w:rPr>
                            </w:pPr>
                            <w:r w:rsidRPr="00A11046">
                              <w:rPr>
                                <w:rFonts w:asciiTheme="minorHAnsi" w:hAnsiTheme="minorHAnsi" w:cstheme="minorHAnsi"/>
                                <w:b/>
                                <w:i/>
                                <w:color w:val="364C93"/>
                                <w:sz w:val="22"/>
                                <w:szCs w:val="22"/>
                              </w:rPr>
                              <w:t>Jerry Cosgrove</w:t>
                            </w:r>
                            <w:r w:rsidRPr="004D7FE6">
                              <w:rPr>
                                <w:rFonts w:asciiTheme="minorHAnsi" w:hAnsiTheme="minorHAnsi" w:cstheme="minorHAnsi"/>
                                <w:i/>
                                <w:color w:val="364C93"/>
                                <w:sz w:val="22"/>
                                <w:szCs w:val="22"/>
                              </w:rPr>
                              <w:t xml:space="preserve"> </w:t>
                            </w:r>
                            <w:r w:rsidRPr="004D7FE6">
                              <w:rPr>
                                <w:rFonts w:asciiTheme="minorHAnsi" w:hAnsiTheme="minorHAnsi" w:cstheme="minorHAnsi"/>
                                <w:i/>
                                <w:sz w:val="22"/>
                                <w:szCs w:val="22"/>
                              </w:rPr>
                              <w:t>is Farm Legacy Director and Senior Advisor at American Farmland Trust. He grew up on his family’s dairy farm in Clinton in central New York. Jerry graduated from Cornell’s College of Agriculture and Life Sciences with a degree in agriculture.</w:t>
                            </w:r>
                            <w:r w:rsidRPr="004D7FE6">
                              <w:rPr>
                                <w:i/>
                                <w:sz w:val="22"/>
                                <w:szCs w:val="22"/>
                              </w:rPr>
                              <w:t xml:space="preserve"> </w:t>
                            </w:r>
                            <w:r w:rsidRPr="004D7FE6">
                              <w:rPr>
                                <w:rFonts w:asciiTheme="minorHAnsi" w:hAnsiTheme="minorHAnsi" w:cstheme="minorHAnsi"/>
                                <w:i/>
                                <w:sz w:val="22"/>
                                <w:szCs w:val="22"/>
                              </w:rPr>
                              <w:t>He also graduated from Cornell Law School and is licensed to practice law in New York.</w:t>
                            </w:r>
                          </w:p>
                          <w:p w14:paraId="046DD2C0" w14:textId="77777777" w:rsidR="00A11046" w:rsidRDefault="00A11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B1725" id="_x0000_t202" coordsize="21600,21600" o:spt="202" path="m,l,21600r21600,l21600,xe">
                <v:stroke joinstyle="miter"/>
                <v:path gradientshapeok="t" o:connecttype="rect"/>
              </v:shapetype>
              <v:shape id="Text Box 2" o:spid="_x0000_s1026" type="#_x0000_t202" style="position:absolute;left:0;text-align:left;margin-left:4.5pt;margin-top:28.05pt;width:451.5pt;height:6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" strokecolor="#679a47">
                <v:textbox>
                  <w:txbxContent>
                    <w:p w14:paraId="56F4057F" w14:textId="658899CF" w:rsidR="0005465A" w:rsidRDefault="0005465A">
                      <w:pPr>
                        <w:rPr>
                          <w:rFonts w:asciiTheme="minorHAnsi" w:hAnsiTheme="minorHAnsi" w:cstheme="minorHAnsi"/>
                          <w:i/>
                          <w:sz w:val="22"/>
                          <w:szCs w:val="22"/>
                        </w:rPr>
                      </w:pPr>
                      <w:r w:rsidRPr="00A11046">
                        <w:rPr>
                          <w:rFonts w:asciiTheme="minorHAnsi" w:hAnsiTheme="minorHAnsi" w:cstheme="minorHAnsi"/>
                          <w:b/>
                          <w:i/>
                          <w:color w:val="364C93"/>
                          <w:sz w:val="22"/>
                          <w:szCs w:val="22"/>
                        </w:rPr>
                        <w:t>Jerry Cosgrove</w:t>
                      </w:r>
                      <w:r w:rsidRPr="004D7FE6">
                        <w:rPr>
                          <w:rFonts w:asciiTheme="minorHAnsi" w:hAnsiTheme="minorHAnsi" w:cstheme="minorHAnsi"/>
                          <w:i/>
                          <w:color w:val="364C93"/>
                          <w:sz w:val="22"/>
                          <w:szCs w:val="22"/>
                        </w:rPr>
                        <w:t xml:space="preserve"> </w:t>
                      </w:r>
                      <w:r w:rsidRPr="004D7FE6">
                        <w:rPr>
                          <w:rFonts w:asciiTheme="minorHAnsi" w:hAnsiTheme="minorHAnsi" w:cstheme="minorHAnsi"/>
                          <w:i/>
                          <w:sz w:val="22"/>
                          <w:szCs w:val="22"/>
                        </w:rPr>
                        <w:t>is Farm Legacy Director and Senior Advisor at American Farmland Trust. He grew up on his family’s dairy farm in Clinton in central New York. Jerry graduated from Cornell’s College of Agriculture and Life Sciences with a degree in agriculture.</w:t>
                      </w:r>
                      <w:r w:rsidRPr="004D7FE6">
                        <w:rPr>
                          <w:i/>
                          <w:sz w:val="22"/>
                          <w:szCs w:val="22"/>
                        </w:rPr>
                        <w:t xml:space="preserve"> </w:t>
                      </w:r>
                      <w:r w:rsidRPr="004D7FE6">
                        <w:rPr>
                          <w:rFonts w:asciiTheme="minorHAnsi" w:hAnsiTheme="minorHAnsi" w:cstheme="minorHAnsi"/>
                          <w:i/>
                          <w:sz w:val="22"/>
                          <w:szCs w:val="22"/>
                        </w:rPr>
                        <w:t>He also graduated from Cornell Law School and is licensed to practice law in New York.</w:t>
                      </w:r>
                    </w:p>
                    <w:p w14:paraId="046DD2C0" w14:textId="77777777" w:rsidR="00A11046" w:rsidRDefault="00A11046"/>
                  </w:txbxContent>
                </v:textbox>
                <w10:wrap type="square"/>
              </v:shape>
            </w:pict>
          </mc:Fallback>
        </mc:AlternateContent>
      </w:r>
    </w:p>
    <w:p w14:paraId="5F83DC30" w14:textId="5AC921BE" w:rsidR="00A11046" w:rsidRDefault="00A11046" w:rsidP="00A11046">
      <w:pPr>
        <w:rPr>
          <w:rFonts w:asciiTheme="minorHAnsi" w:hAnsiTheme="minorHAnsi"/>
          <w:color w:val="679A47"/>
          <w:sz w:val="22"/>
          <w:szCs w:val="22"/>
        </w:rPr>
      </w:pPr>
    </w:p>
    <w:p w14:paraId="7119DBB2" w14:textId="6B4F1DCF" w:rsidR="0005465A" w:rsidRPr="00C51572" w:rsidRDefault="00A11046" w:rsidP="004646C0">
      <w:pPr>
        <w:ind w:left="7200" w:firstLine="720"/>
        <w:rPr>
          <w:rFonts w:asciiTheme="minorHAnsi" w:hAnsiTheme="minorHAnsi"/>
          <w:color w:val="679A47"/>
          <w:sz w:val="22"/>
          <w:szCs w:val="22"/>
        </w:rPr>
      </w:pPr>
      <w:r w:rsidRPr="00A11046">
        <w:rPr>
          <w:rFonts w:asciiTheme="minorHAnsi" w:hAnsiTheme="minorHAnsi"/>
          <w:color w:val="679A47"/>
          <w:sz w:val="22"/>
          <w:szCs w:val="22"/>
        </w:rPr>
        <w:t xml:space="preserve"> </w:t>
      </w:r>
      <w:r w:rsidRPr="0005465A">
        <w:rPr>
          <w:rFonts w:asciiTheme="minorHAnsi" w:hAnsiTheme="minorHAnsi"/>
          <w:color w:val="679A47"/>
          <w:sz w:val="22"/>
          <w:szCs w:val="22"/>
        </w:rPr>
        <w:t>March</w:t>
      </w:r>
      <w:r w:rsidRPr="004D7FE6">
        <w:rPr>
          <w:rFonts w:asciiTheme="minorHAnsi" w:hAnsiTheme="minorHAnsi"/>
          <w:color w:val="679A47"/>
          <w:sz w:val="22"/>
          <w:szCs w:val="22"/>
        </w:rPr>
        <w:t xml:space="preserve"> 2019</w:t>
      </w:r>
    </w:p>
    <w:sectPr w:rsidR="0005465A" w:rsidRPr="00C51572" w:rsidSect="00026420">
      <w:footerReference w:type="default" r:id="rId11"/>
      <w:headerReference w:type="first" r:id="rId12"/>
      <w:footerReference w:type="first" r:id="rId13"/>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1F17" w14:textId="77777777" w:rsidR="007A5B67" w:rsidRDefault="007A5B67">
      <w:r>
        <w:separator/>
      </w:r>
    </w:p>
  </w:endnote>
  <w:endnote w:type="continuationSeparator" w:id="0">
    <w:p w14:paraId="1B82193A" w14:textId="77777777" w:rsidR="007A5B67" w:rsidRDefault="007A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olor w:val="17365D" w:themeColor="text2" w:themeShade="BF"/>
        <w:sz w:val="18"/>
        <w:szCs w:val="18"/>
      </w:rPr>
      <w:id w:val="1199740592"/>
      <w:docPartObj>
        <w:docPartGallery w:val="Page Numbers (Bottom of Page)"/>
        <w:docPartUnique/>
      </w:docPartObj>
    </w:sdtPr>
    <w:sdtEndPr>
      <w:rPr>
        <w:noProof/>
      </w:rPr>
    </w:sdtEndPr>
    <w:sdtContent>
      <w:p w14:paraId="520E56B2" w14:textId="6DE89167" w:rsidR="00A33283" w:rsidRPr="00CD5B4B" w:rsidRDefault="004A4BF8" w:rsidP="00A33283">
        <w:pPr>
          <w:pStyle w:val="Footer"/>
          <w:jc w:val="center"/>
          <w:rPr>
            <w:rFonts w:asciiTheme="minorHAnsi" w:hAnsiTheme="minorHAnsi"/>
            <w:noProof/>
            <w:color w:val="17365D" w:themeColor="text2" w:themeShade="BF"/>
            <w:sz w:val="18"/>
            <w:szCs w:val="18"/>
          </w:rPr>
        </w:pPr>
        <w:r w:rsidRPr="00CD5B4B">
          <w:rPr>
            <w:rFonts w:asciiTheme="minorHAnsi" w:hAnsiTheme="minorHAnsi"/>
            <w:color w:val="17365D" w:themeColor="text2" w:themeShade="BF"/>
            <w:sz w:val="18"/>
            <w:szCs w:val="18"/>
          </w:rPr>
          <w:tab/>
        </w:r>
        <w:r w:rsidRPr="00CD5B4B">
          <w:rPr>
            <w:rFonts w:asciiTheme="minorHAnsi" w:hAnsiTheme="minorHAnsi"/>
            <w:color w:val="17365D" w:themeColor="text2" w:themeShade="BF"/>
            <w:sz w:val="18"/>
            <w:szCs w:val="18"/>
          </w:rPr>
          <w:tab/>
        </w:r>
        <w:r w:rsidRPr="00CD5B4B">
          <w:rPr>
            <w:rFonts w:asciiTheme="minorHAnsi" w:hAnsiTheme="minorHAnsi"/>
            <w:color w:val="17365D" w:themeColor="text2" w:themeShade="BF"/>
            <w:sz w:val="18"/>
            <w:szCs w:val="18"/>
          </w:rPr>
          <w:tab/>
        </w:r>
        <w:r w:rsidRPr="00CD5B4B">
          <w:rPr>
            <w:rFonts w:asciiTheme="minorHAnsi" w:hAnsiTheme="minorHAnsi"/>
            <w:color w:val="17365D" w:themeColor="text2" w:themeShade="BF"/>
            <w:sz w:val="18"/>
            <w:szCs w:val="18"/>
          </w:rPr>
          <w:tab/>
        </w:r>
        <w:r w:rsidR="00AD6CAD">
          <w:rPr>
            <w:rFonts w:asciiTheme="minorHAnsi" w:hAnsiTheme="minorHAnsi"/>
            <w:color w:val="17365D" w:themeColor="text2" w:themeShade="BF"/>
            <w:sz w:val="18"/>
            <w:szCs w:val="18"/>
          </w:rPr>
          <w:tab/>
        </w:r>
        <w:r w:rsidRPr="00CD5B4B">
          <w:rPr>
            <w:rFonts w:asciiTheme="minorHAnsi" w:hAnsiTheme="minorHAnsi"/>
            <w:color w:val="17365D" w:themeColor="text2" w:themeShade="BF"/>
            <w:sz w:val="18"/>
            <w:szCs w:val="18"/>
          </w:rPr>
          <w:t xml:space="preserve">American Farmland Trust ǀ </w:t>
        </w:r>
        <w:r w:rsidRPr="00CD5B4B">
          <w:rPr>
            <w:rFonts w:asciiTheme="minorHAnsi" w:hAnsiTheme="minorHAnsi"/>
            <w:color w:val="17365D" w:themeColor="text2" w:themeShade="BF"/>
            <w:sz w:val="18"/>
            <w:szCs w:val="18"/>
          </w:rPr>
          <w:fldChar w:fldCharType="begin"/>
        </w:r>
        <w:r w:rsidRPr="00CD5B4B">
          <w:rPr>
            <w:rFonts w:asciiTheme="minorHAnsi" w:hAnsiTheme="minorHAnsi"/>
            <w:color w:val="17365D" w:themeColor="text2" w:themeShade="BF"/>
            <w:sz w:val="18"/>
            <w:szCs w:val="18"/>
          </w:rPr>
          <w:instrText xml:space="preserve"> PAGE   \* MERGEFORMAT </w:instrText>
        </w:r>
        <w:r w:rsidRPr="00CD5B4B">
          <w:rPr>
            <w:rFonts w:asciiTheme="minorHAnsi" w:hAnsiTheme="minorHAnsi"/>
            <w:color w:val="17365D" w:themeColor="text2" w:themeShade="BF"/>
            <w:sz w:val="18"/>
            <w:szCs w:val="18"/>
          </w:rPr>
          <w:fldChar w:fldCharType="separate"/>
        </w:r>
        <w:r w:rsidRPr="00CD5B4B">
          <w:rPr>
            <w:rFonts w:asciiTheme="minorHAnsi" w:hAnsiTheme="minorHAnsi"/>
            <w:noProof/>
            <w:color w:val="17365D" w:themeColor="text2" w:themeShade="BF"/>
            <w:sz w:val="18"/>
            <w:szCs w:val="18"/>
          </w:rPr>
          <w:t>2</w:t>
        </w:r>
        <w:r w:rsidRPr="00CD5B4B">
          <w:rPr>
            <w:rFonts w:asciiTheme="minorHAnsi" w:hAnsiTheme="minorHAnsi"/>
            <w:noProof/>
            <w:color w:val="17365D" w:themeColor="text2" w:themeShade="BF"/>
            <w:sz w:val="18"/>
            <w:szCs w:val="18"/>
          </w:rPr>
          <w:fldChar w:fldCharType="end"/>
        </w:r>
      </w:p>
    </w:sdtContent>
  </w:sdt>
  <w:p w14:paraId="1E79418E" w14:textId="47B317EF" w:rsidR="00463D5E" w:rsidRPr="00A33283" w:rsidRDefault="00463D5E" w:rsidP="00A33283">
    <w:pPr>
      <w:pStyle w:val="Footer"/>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7849" w14:textId="3286C376" w:rsidR="00463D5E" w:rsidRDefault="004A4BF8" w:rsidP="004A4BF8">
    <w:pPr>
      <w:pStyle w:val="Footer"/>
      <w:jc w:val="center"/>
    </w:pPr>
    <w:r>
      <w:rPr>
        <w:noProof/>
      </w:rPr>
      <w:drawing>
        <wp:inline distT="0" distB="0" distL="0" distR="0" wp14:anchorId="77054ED8" wp14:editId="21AEB187">
          <wp:extent cx="1751478" cy="355277"/>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53" cy="4130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E60C" w14:textId="77777777" w:rsidR="007A5B67" w:rsidRDefault="007A5B67">
      <w:r>
        <w:separator/>
      </w:r>
    </w:p>
  </w:footnote>
  <w:footnote w:type="continuationSeparator" w:id="0">
    <w:p w14:paraId="47095610" w14:textId="77777777" w:rsidR="007A5B67" w:rsidRDefault="007A5B67">
      <w:r>
        <w:continuationSeparator/>
      </w:r>
    </w:p>
  </w:footnote>
  <w:footnote w:id="1">
    <w:p w14:paraId="055B300E" w14:textId="56BA6E3B" w:rsidR="00A94CF5" w:rsidRPr="004C6BB9" w:rsidRDefault="00A94CF5" w:rsidP="00132E49">
      <w:pPr>
        <w:pStyle w:val="FootnoteText"/>
        <w:rPr>
          <w:rFonts w:asciiTheme="minorHAnsi" w:hAnsiTheme="minorHAnsi" w:cstheme="minorHAnsi"/>
        </w:rPr>
      </w:pPr>
      <w:r w:rsidRPr="00F1395B">
        <w:rPr>
          <w:rStyle w:val="FootnoteReference"/>
        </w:rPr>
        <w:footnoteRef/>
      </w:r>
      <w:r w:rsidRPr="00F1395B">
        <w:t xml:space="preserve"> </w:t>
      </w:r>
      <w:r w:rsidRPr="0093373E">
        <w:rPr>
          <w:rFonts w:asciiTheme="minorHAnsi" w:hAnsiTheme="minorHAnsi" w:cstheme="minorHAnsi"/>
        </w:rPr>
        <w:t xml:space="preserve">PACE programs are also known as purchase of development rights (PDR) programs. </w:t>
      </w:r>
      <w:r w:rsidRPr="0093373E">
        <w:rPr>
          <w:rStyle w:val="CommentReference"/>
          <w:sz w:val="20"/>
          <w:szCs w:val="20"/>
        </w:rPr>
        <w:t/>
      </w:r>
      <w:r w:rsidRPr="0093373E">
        <w:rPr>
          <w:rFonts w:asciiTheme="minorHAnsi" w:hAnsiTheme="minorHAnsi" w:cstheme="minorHAnsi"/>
        </w:rPr>
        <w:t>Twenty-eight states and at least 95 localities have PACE programs that use public funds</w:t>
      </w:r>
      <w:r w:rsidR="00132E49">
        <w:rPr>
          <w:rFonts w:asciiTheme="minorHAnsi" w:hAnsiTheme="minorHAnsi" w:cstheme="minorHAnsi"/>
        </w:rPr>
        <w:t xml:space="preserve"> </w:t>
      </w:r>
      <w:r w:rsidRPr="0093373E">
        <w:rPr>
          <w:rFonts w:asciiTheme="minorHAnsi" w:hAnsiTheme="minorHAnsi" w:cstheme="minorHAnsi"/>
        </w:rPr>
        <w:t>to buy ACEs. Land trusts that have prioritized the protection of agricultural land can work with landowners to identify available sources of funding, including the Agricultural Land Easements component of the federal Agricultural Conservation Easement Program.</w:t>
      </w:r>
      <w:r w:rsidRPr="0093373E">
        <w:rPr>
          <w:rStyle w:val="CommentReference"/>
          <w:sz w:val="20"/>
          <w:szCs w:val="20"/>
        </w:rPr>
        <w:t/>
      </w:r>
    </w:p>
  </w:footnote>
  <w:footnote w:id="2">
    <w:p w14:paraId="5EFA6FA4" w14:textId="77777777" w:rsidR="00F35C5B" w:rsidRPr="005B3457" w:rsidRDefault="00F35C5B" w:rsidP="00F35C5B">
      <w:pPr>
        <w:pStyle w:val="FootnoteText"/>
        <w:rPr>
          <w:rFonts w:asciiTheme="minorHAnsi" w:hAnsiTheme="minorHAnsi" w:cstheme="minorHAnsi"/>
        </w:rPr>
      </w:pPr>
      <w:r w:rsidRPr="005B3457">
        <w:rPr>
          <w:rStyle w:val="FootnoteReference"/>
          <w:rFonts w:asciiTheme="minorHAnsi" w:hAnsiTheme="minorHAnsi" w:cstheme="minorHAnsi"/>
        </w:rPr>
        <w:footnoteRef/>
      </w:r>
      <w:r w:rsidRPr="005B3457">
        <w:rPr>
          <w:rFonts w:asciiTheme="minorHAnsi" w:hAnsiTheme="minorHAnsi" w:cstheme="minorHAnsi"/>
        </w:rPr>
        <w:t xml:space="preserve"> Generally, the basis is the value of the property when it was acquired adjusted by any improvements or depreciation over time.</w:t>
      </w:r>
    </w:p>
  </w:footnote>
  <w:footnote w:id="3">
    <w:p w14:paraId="507A42DD" w14:textId="77777777" w:rsidR="00A94CF5" w:rsidRPr="00550CB5" w:rsidRDefault="00A94CF5" w:rsidP="00A94CF5">
      <w:pPr>
        <w:pStyle w:val="FootnoteText"/>
        <w:rPr>
          <w:rFonts w:asciiTheme="minorHAnsi" w:hAnsiTheme="minorHAnsi" w:cstheme="minorHAnsi"/>
        </w:rPr>
      </w:pPr>
      <w:r w:rsidRPr="005B3457">
        <w:rPr>
          <w:rStyle w:val="FootnoteReference"/>
          <w:rFonts w:asciiTheme="minorHAnsi" w:hAnsiTheme="minorHAnsi" w:cstheme="minorHAnsi"/>
        </w:rPr>
        <w:footnoteRef/>
      </w:r>
      <w:r w:rsidRPr="005B3457">
        <w:rPr>
          <w:rFonts w:asciiTheme="minorHAnsi" w:hAnsiTheme="minorHAnsi" w:cstheme="minorHAnsi"/>
        </w:rPr>
        <w:t xml:space="preserve"> </w:t>
      </w:r>
      <w:r w:rsidRPr="00550CB5">
        <w:rPr>
          <w:rFonts w:asciiTheme="minorHAnsi" w:hAnsiTheme="minorHAnsi" w:cstheme="minorHAnsi"/>
        </w:rPr>
        <w:t xml:space="preserve">3 Rev. Rul. 77-414, 1977-2 C.B. 299 allows the entire basis to be applied in cases when apportioning it between the easement and the property subject to the easement is impractical or impossible. </w:t>
      </w:r>
    </w:p>
  </w:footnote>
  <w:footnote w:id="4">
    <w:p w14:paraId="496E7162" w14:textId="58A1D09D" w:rsidR="00FE76EE" w:rsidRPr="005B3457" w:rsidRDefault="00FE76EE" w:rsidP="00FE76EE">
      <w:pPr>
        <w:rPr>
          <w:rFonts w:asciiTheme="minorHAnsi" w:hAnsiTheme="minorHAnsi" w:cstheme="minorHAnsi"/>
          <w:sz w:val="20"/>
          <w:szCs w:val="20"/>
        </w:rPr>
      </w:pPr>
      <w:r w:rsidRPr="005B3457">
        <w:rPr>
          <w:rStyle w:val="FootnoteReference"/>
          <w:sz w:val="20"/>
          <w:szCs w:val="20"/>
        </w:rPr>
        <w:footnoteRef/>
      </w:r>
      <w:r w:rsidRPr="005B3457">
        <w:rPr>
          <w:sz w:val="20"/>
          <w:szCs w:val="20"/>
        </w:rPr>
        <w:t xml:space="preserve"> </w:t>
      </w:r>
      <w:r w:rsidRPr="005B3457">
        <w:rPr>
          <w:rFonts w:asciiTheme="minorHAnsi" w:hAnsiTheme="minorHAnsi" w:cstheme="minorHAnsi"/>
          <w:sz w:val="20"/>
          <w:szCs w:val="20"/>
        </w:rPr>
        <w:t>IRS private letter rulings 9621012, 9851039, 9232030, 9215049.</w:t>
      </w:r>
    </w:p>
  </w:footnote>
  <w:footnote w:id="5">
    <w:p w14:paraId="489BBB54" w14:textId="5976F7A4" w:rsidR="008C79E4" w:rsidRPr="005B3457" w:rsidRDefault="008C79E4">
      <w:pPr>
        <w:pStyle w:val="FootnoteText"/>
        <w:rPr>
          <w:rFonts w:asciiTheme="minorHAnsi" w:hAnsiTheme="minorHAnsi"/>
        </w:rPr>
      </w:pPr>
      <w:r w:rsidRPr="005B3457">
        <w:rPr>
          <w:rStyle w:val="FootnoteReference"/>
        </w:rPr>
        <w:footnoteRef/>
      </w:r>
      <w:r w:rsidRPr="005B3457">
        <w:t xml:space="preserve"> </w:t>
      </w:r>
      <w:r w:rsidRPr="005B3457">
        <w:rPr>
          <w:rFonts w:asciiTheme="minorHAnsi" w:hAnsiTheme="minorHAnsi"/>
        </w:rPr>
        <w:t>This means that state, local and private funds used for such purchases are subject to the capital gain taxes.</w:t>
      </w:r>
    </w:p>
  </w:footnote>
  <w:footnote w:id="6">
    <w:p w14:paraId="003FBF69" w14:textId="77777777" w:rsidR="008C79E4" w:rsidRPr="005B3457" w:rsidRDefault="008C79E4" w:rsidP="008C79E4">
      <w:pPr>
        <w:pStyle w:val="FootnoteText"/>
        <w:rPr>
          <w:rFonts w:asciiTheme="minorHAnsi" w:hAnsiTheme="minorHAnsi"/>
        </w:rPr>
      </w:pPr>
      <w:r w:rsidRPr="005B3457">
        <w:rPr>
          <w:rStyle w:val="FootnoteReference"/>
          <w:rFonts w:asciiTheme="minorHAnsi" w:hAnsiTheme="minorHAnsi"/>
        </w:rPr>
        <w:footnoteRef/>
      </w:r>
      <w:r w:rsidRPr="005B3457">
        <w:rPr>
          <w:rFonts w:asciiTheme="minorHAnsi" w:hAnsiTheme="minorHAnsi"/>
        </w:rPr>
        <w:t xml:space="preserve"> (C. Graves, 88 Tax Court Decision # 43617)</w:t>
      </w:r>
    </w:p>
    <w:p w14:paraId="1C470152" w14:textId="0BFE3D49" w:rsidR="008C79E4" w:rsidRDefault="008C79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EFD1" w14:textId="77777777" w:rsidR="00425B58" w:rsidRDefault="00425B58" w:rsidP="008B5165">
    <w:pPr>
      <w:pStyle w:val="Heading1"/>
      <w:pBdr>
        <w:bottom w:val="single" w:sz="12" w:space="7" w:color="679A47"/>
      </w:pBdr>
      <w:spacing w:before="120"/>
      <w:jc w:val="center"/>
      <w:rPr>
        <w:rFonts w:asciiTheme="minorHAnsi" w:hAnsiTheme="minorHAnsi"/>
        <w:color w:val="364C93"/>
        <w:sz w:val="28"/>
        <w:u w:val="none"/>
      </w:rPr>
    </w:pPr>
  </w:p>
  <w:p w14:paraId="29AAA3D4" w14:textId="6F5E3A1E" w:rsidR="00504598" w:rsidRDefault="00504598" w:rsidP="00504598">
    <w:pPr>
      <w:pStyle w:val="Heading1"/>
      <w:pBdr>
        <w:bottom w:val="single" w:sz="12" w:space="7" w:color="679A47"/>
      </w:pBdr>
      <w:jc w:val="center"/>
      <w:rPr>
        <w:rFonts w:asciiTheme="minorHAnsi" w:hAnsiTheme="minorHAnsi"/>
        <w:color w:val="364C93"/>
        <w:sz w:val="28"/>
        <w:u w:val="none"/>
      </w:rPr>
    </w:pPr>
    <w:r>
      <w:rPr>
        <w:rFonts w:asciiTheme="minorHAnsi" w:hAnsiTheme="minorHAnsi"/>
        <w:color w:val="364C93"/>
        <w:sz w:val="28"/>
        <w:u w:val="none"/>
      </w:rPr>
      <w:t xml:space="preserve">Selling an Agricultural Conservation Easement: </w:t>
    </w:r>
  </w:p>
  <w:p w14:paraId="315DF99E" w14:textId="78107555" w:rsidR="008B2B70" w:rsidRPr="00504598" w:rsidRDefault="007C5CCE" w:rsidP="00504598">
    <w:pPr>
      <w:pStyle w:val="Heading1"/>
      <w:pBdr>
        <w:bottom w:val="single" w:sz="12" w:space="7" w:color="679A47"/>
      </w:pBdr>
      <w:jc w:val="center"/>
      <w:rPr>
        <w:rFonts w:asciiTheme="minorHAnsi" w:hAnsiTheme="minorHAnsi"/>
        <w:color w:val="364C93"/>
        <w:sz w:val="28"/>
        <w:u w:val="none"/>
      </w:rPr>
    </w:pPr>
    <w:r>
      <w:rPr>
        <w:rFonts w:asciiTheme="minorHAnsi" w:hAnsiTheme="minorHAnsi"/>
        <w:color w:val="364C93"/>
        <w:sz w:val="28"/>
        <w:u w:val="none"/>
      </w:rPr>
      <w:t xml:space="preserve">Capital Gains </w:t>
    </w:r>
    <w:r w:rsidR="00C75DD2" w:rsidRPr="00824A6C">
      <w:rPr>
        <w:rFonts w:asciiTheme="minorHAnsi" w:hAnsiTheme="minorHAnsi"/>
        <w:color w:val="364C93"/>
        <w:sz w:val="28"/>
        <w:u w:val="none"/>
      </w:rPr>
      <w:t xml:space="preserve">Tax Implications and Opportunities </w:t>
    </w:r>
  </w:p>
  <w:p w14:paraId="156417D3" w14:textId="17292C6A" w:rsidR="00857819" w:rsidRPr="00857819" w:rsidRDefault="00857819" w:rsidP="00C75DD2">
    <w:pPr>
      <w:pStyle w:val="Header"/>
      <w:jc w:val="center"/>
      <w:rPr>
        <w:rFonts w:asciiTheme="minorHAnsi" w:hAnsiTheme="minorHAnsi"/>
        <w:sz w:val="16"/>
        <w:szCs w:val="16"/>
      </w:rPr>
    </w:pPr>
  </w:p>
  <w:p w14:paraId="7DBF724B" w14:textId="55FF9B3C" w:rsidR="00463D5E" w:rsidRPr="008B5165" w:rsidRDefault="007513ED" w:rsidP="00C75DD2">
    <w:pPr>
      <w:pStyle w:val="Header"/>
      <w:jc w:val="center"/>
      <w:rPr>
        <w:rFonts w:asciiTheme="minorHAnsi" w:hAnsiTheme="minorHAnsi"/>
        <w:color w:val="364C93"/>
      </w:rPr>
    </w:pPr>
    <w:r w:rsidRPr="008B5165">
      <w:rPr>
        <w:rFonts w:asciiTheme="minorHAnsi" w:hAnsiTheme="minorHAnsi"/>
        <w:color w:val="364C93"/>
      </w:rPr>
      <w:t>By Jerry Cosgrove</w:t>
    </w:r>
  </w:p>
  <w:p w14:paraId="0B0259B1" w14:textId="77777777" w:rsidR="00857819" w:rsidRPr="00A81A7E" w:rsidRDefault="00857819" w:rsidP="00857819">
    <w:pPr>
      <w:pStyle w:val="Head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701"/>
    <w:multiLevelType w:val="hybridMultilevel"/>
    <w:tmpl w:val="AEEC30DC"/>
    <w:lvl w:ilvl="0" w:tplc="3796013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617F5"/>
    <w:multiLevelType w:val="hybridMultilevel"/>
    <w:tmpl w:val="788AE34A"/>
    <w:lvl w:ilvl="0" w:tplc="3796013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832D82"/>
    <w:multiLevelType w:val="hybridMultilevel"/>
    <w:tmpl w:val="27DC7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A0290"/>
    <w:multiLevelType w:val="hybridMultilevel"/>
    <w:tmpl w:val="DF9CE6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D1056"/>
    <w:multiLevelType w:val="hybridMultilevel"/>
    <w:tmpl w:val="40521E8C"/>
    <w:lvl w:ilvl="0" w:tplc="3796013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51"/>
    <w:rsid w:val="00014B07"/>
    <w:rsid w:val="0002301F"/>
    <w:rsid w:val="00026420"/>
    <w:rsid w:val="0005146D"/>
    <w:rsid w:val="0005465A"/>
    <w:rsid w:val="000866C3"/>
    <w:rsid w:val="000D3564"/>
    <w:rsid w:val="00114577"/>
    <w:rsid w:val="00115C5C"/>
    <w:rsid w:val="00120E93"/>
    <w:rsid w:val="00124849"/>
    <w:rsid w:val="00132E49"/>
    <w:rsid w:val="0013376C"/>
    <w:rsid w:val="00135037"/>
    <w:rsid w:val="0015213A"/>
    <w:rsid w:val="00155DA8"/>
    <w:rsid w:val="00175BCE"/>
    <w:rsid w:val="0019090C"/>
    <w:rsid w:val="001A453C"/>
    <w:rsid w:val="001A7C5C"/>
    <w:rsid w:val="001C3E33"/>
    <w:rsid w:val="001D0013"/>
    <w:rsid w:val="002245C0"/>
    <w:rsid w:val="002565CB"/>
    <w:rsid w:val="002567EC"/>
    <w:rsid w:val="00261DE0"/>
    <w:rsid w:val="00295D05"/>
    <w:rsid w:val="002A25CE"/>
    <w:rsid w:val="002A7188"/>
    <w:rsid w:val="002C0441"/>
    <w:rsid w:val="002C0935"/>
    <w:rsid w:val="002E3452"/>
    <w:rsid w:val="00316112"/>
    <w:rsid w:val="00331B3B"/>
    <w:rsid w:val="003450D2"/>
    <w:rsid w:val="00345365"/>
    <w:rsid w:val="00346449"/>
    <w:rsid w:val="00350502"/>
    <w:rsid w:val="003639E9"/>
    <w:rsid w:val="0036626B"/>
    <w:rsid w:val="00393348"/>
    <w:rsid w:val="003A0914"/>
    <w:rsid w:val="003A63A8"/>
    <w:rsid w:val="003C10C6"/>
    <w:rsid w:val="003C2B07"/>
    <w:rsid w:val="003D0967"/>
    <w:rsid w:val="003E5788"/>
    <w:rsid w:val="003F2BB8"/>
    <w:rsid w:val="00421011"/>
    <w:rsid w:val="00425B58"/>
    <w:rsid w:val="00426784"/>
    <w:rsid w:val="004475D2"/>
    <w:rsid w:val="00450857"/>
    <w:rsid w:val="00457313"/>
    <w:rsid w:val="00463D5E"/>
    <w:rsid w:val="004646C0"/>
    <w:rsid w:val="004802B5"/>
    <w:rsid w:val="004A4BF8"/>
    <w:rsid w:val="004B7C51"/>
    <w:rsid w:val="004C2428"/>
    <w:rsid w:val="004C6BB9"/>
    <w:rsid w:val="004D0ED4"/>
    <w:rsid w:val="004D7FE6"/>
    <w:rsid w:val="004E13DE"/>
    <w:rsid w:val="004F045B"/>
    <w:rsid w:val="00504598"/>
    <w:rsid w:val="00527931"/>
    <w:rsid w:val="00533CB8"/>
    <w:rsid w:val="00550CB5"/>
    <w:rsid w:val="005658BE"/>
    <w:rsid w:val="0057476D"/>
    <w:rsid w:val="00597EF7"/>
    <w:rsid w:val="005B2D82"/>
    <w:rsid w:val="005B3457"/>
    <w:rsid w:val="005C441D"/>
    <w:rsid w:val="005E2ADE"/>
    <w:rsid w:val="00604815"/>
    <w:rsid w:val="00694F97"/>
    <w:rsid w:val="006A5249"/>
    <w:rsid w:val="006B35B4"/>
    <w:rsid w:val="006B4388"/>
    <w:rsid w:val="006C2AD5"/>
    <w:rsid w:val="006F32B4"/>
    <w:rsid w:val="006F3D0D"/>
    <w:rsid w:val="00742C11"/>
    <w:rsid w:val="007478AA"/>
    <w:rsid w:val="007513ED"/>
    <w:rsid w:val="007515ED"/>
    <w:rsid w:val="007751D1"/>
    <w:rsid w:val="00775941"/>
    <w:rsid w:val="007A5B67"/>
    <w:rsid w:val="007C5CCE"/>
    <w:rsid w:val="007E1523"/>
    <w:rsid w:val="008178FE"/>
    <w:rsid w:val="00824A6C"/>
    <w:rsid w:val="00825F54"/>
    <w:rsid w:val="00857819"/>
    <w:rsid w:val="00894B47"/>
    <w:rsid w:val="008B2B70"/>
    <w:rsid w:val="008B5165"/>
    <w:rsid w:val="008B7A8A"/>
    <w:rsid w:val="008C79E4"/>
    <w:rsid w:val="008E401C"/>
    <w:rsid w:val="008E4AD8"/>
    <w:rsid w:val="008E58D3"/>
    <w:rsid w:val="009744FC"/>
    <w:rsid w:val="009967D2"/>
    <w:rsid w:val="009A4A43"/>
    <w:rsid w:val="00A03968"/>
    <w:rsid w:val="00A11046"/>
    <w:rsid w:val="00A313F5"/>
    <w:rsid w:val="00A33283"/>
    <w:rsid w:val="00A362EF"/>
    <w:rsid w:val="00A60A10"/>
    <w:rsid w:val="00A81A7E"/>
    <w:rsid w:val="00A81F98"/>
    <w:rsid w:val="00A94CF5"/>
    <w:rsid w:val="00AB6C3E"/>
    <w:rsid w:val="00AC2BDE"/>
    <w:rsid w:val="00AD6CAD"/>
    <w:rsid w:val="00B336BF"/>
    <w:rsid w:val="00B63365"/>
    <w:rsid w:val="00B76E13"/>
    <w:rsid w:val="00B8772A"/>
    <w:rsid w:val="00BA555B"/>
    <w:rsid w:val="00BB2D67"/>
    <w:rsid w:val="00BB621E"/>
    <w:rsid w:val="00BD49E2"/>
    <w:rsid w:val="00BD645E"/>
    <w:rsid w:val="00BE6E68"/>
    <w:rsid w:val="00C1666C"/>
    <w:rsid w:val="00C31825"/>
    <w:rsid w:val="00C51572"/>
    <w:rsid w:val="00C75DD2"/>
    <w:rsid w:val="00C83424"/>
    <w:rsid w:val="00CD5B4B"/>
    <w:rsid w:val="00CD67EF"/>
    <w:rsid w:val="00D03195"/>
    <w:rsid w:val="00D03707"/>
    <w:rsid w:val="00D40B3C"/>
    <w:rsid w:val="00D521DA"/>
    <w:rsid w:val="00D77AD4"/>
    <w:rsid w:val="00DA78E1"/>
    <w:rsid w:val="00DD6872"/>
    <w:rsid w:val="00DE4352"/>
    <w:rsid w:val="00DF3BCC"/>
    <w:rsid w:val="00E22A88"/>
    <w:rsid w:val="00E3028E"/>
    <w:rsid w:val="00E43AD5"/>
    <w:rsid w:val="00E84FF1"/>
    <w:rsid w:val="00EB1E03"/>
    <w:rsid w:val="00F0353E"/>
    <w:rsid w:val="00F11B78"/>
    <w:rsid w:val="00F1395B"/>
    <w:rsid w:val="00F21D92"/>
    <w:rsid w:val="00F2758D"/>
    <w:rsid w:val="00F35C5B"/>
    <w:rsid w:val="00F42A69"/>
    <w:rsid w:val="00FD5CB2"/>
    <w:rsid w:val="00FE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FAE3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63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D5E"/>
    <w:rPr>
      <w:rFonts w:ascii="Segoe UI" w:hAnsi="Segoe UI" w:cs="Segoe UI"/>
      <w:sz w:val="18"/>
      <w:szCs w:val="18"/>
    </w:rPr>
  </w:style>
  <w:style w:type="character" w:customStyle="1" w:styleId="FooterChar">
    <w:name w:val="Footer Char"/>
    <w:basedOn w:val="DefaultParagraphFont"/>
    <w:link w:val="Footer"/>
    <w:uiPriority w:val="99"/>
    <w:rsid w:val="004A4BF8"/>
    <w:rPr>
      <w:sz w:val="24"/>
      <w:szCs w:val="24"/>
    </w:rPr>
  </w:style>
  <w:style w:type="table" w:styleId="TableGrid">
    <w:name w:val="Table Grid"/>
    <w:basedOn w:val="TableNormal"/>
    <w:uiPriority w:val="59"/>
    <w:rsid w:val="006F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2B4"/>
    <w:pPr>
      <w:ind w:left="720"/>
      <w:contextualSpacing/>
    </w:pPr>
  </w:style>
  <w:style w:type="paragraph" w:styleId="EndnoteText">
    <w:name w:val="endnote text"/>
    <w:basedOn w:val="Normal"/>
    <w:link w:val="EndnoteTextChar"/>
    <w:uiPriority w:val="99"/>
    <w:semiHidden/>
    <w:unhideWhenUsed/>
    <w:rsid w:val="00FE76EE"/>
    <w:rPr>
      <w:sz w:val="20"/>
      <w:szCs w:val="20"/>
    </w:rPr>
  </w:style>
  <w:style w:type="character" w:customStyle="1" w:styleId="EndnoteTextChar">
    <w:name w:val="Endnote Text Char"/>
    <w:basedOn w:val="DefaultParagraphFont"/>
    <w:link w:val="EndnoteText"/>
    <w:uiPriority w:val="99"/>
    <w:semiHidden/>
    <w:rsid w:val="00FE76EE"/>
  </w:style>
  <w:style w:type="character" w:styleId="EndnoteReference">
    <w:name w:val="endnote reference"/>
    <w:basedOn w:val="DefaultParagraphFont"/>
    <w:uiPriority w:val="99"/>
    <w:semiHidden/>
    <w:unhideWhenUsed/>
    <w:rsid w:val="00FE76EE"/>
    <w:rPr>
      <w:vertAlign w:val="superscript"/>
    </w:rPr>
  </w:style>
  <w:style w:type="character" w:styleId="CommentReference">
    <w:name w:val="annotation reference"/>
    <w:basedOn w:val="DefaultParagraphFont"/>
    <w:uiPriority w:val="99"/>
    <w:semiHidden/>
    <w:unhideWhenUsed/>
    <w:rsid w:val="008B2B70"/>
    <w:rPr>
      <w:sz w:val="16"/>
      <w:szCs w:val="16"/>
    </w:rPr>
  </w:style>
  <w:style w:type="paragraph" w:styleId="CommentText">
    <w:name w:val="annotation text"/>
    <w:basedOn w:val="Normal"/>
    <w:link w:val="CommentTextChar"/>
    <w:uiPriority w:val="99"/>
    <w:unhideWhenUsed/>
    <w:rsid w:val="008B2B70"/>
    <w:rPr>
      <w:sz w:val="20"/>
      <w:szCs w:val="20"/>
    </w:rPr>
  </w:style>
  <w:style w:type="character" w:customStyle="1" w:styleId="CommentTextChar">
    <w:name w:val="Comment Text Char"/>
    <w:basedOn w:val="DefaultParagraphFont"/>
    <w:link w:val="CommentText"/>
    <w:uiPriority w:val="99"/>
    <w:rsid w:val="008B2B70"/>
  </w:style>
  <w:style w:type="paragraph" w:styleId="CommentSubject">
    <w:name w:val="annotation subject"/>
    <w:basedOn w:val="CommentText"/>
    <w:next w:val="CommentText"/>
    <w:link w:val="CommentSubjectChar"/>
    <w:uiPriority w:val="99"/>
    <w:semiHidden/>
    <w:unhideWhenUsed/>
    <w:rsid w:val="008B2B70"/>
    <w:rPr>
      <w:b/>
      <w:bCs/>
    </w:rPr>
  </w:style>
  <w:style w:type="character" w:customStyle="1" w:styleId="CommentSubjectChar">
    <w:name w:val="Comment Subject Char"/>
    <w:basedOn w:val="CommentTextChar"/>
    <w:link w:val="CommentSubject"/>
    <w:uiPriority w:val="99"/>
    <w:semiHidden/>
    <w:rsid w:val="008B2B70"/>
    <w:rPr>
      <w:b/>
      <w:bCs/>
    </w:rPr>
  </w:style>
  <w:style w:type="character" w:styleId="UnresolvedMention">
    <w:name w:val="Unresolved Mention"/>
    <w:basedOn w:val="DefaultParagraphFont"/>
    <w:uiPriority w:val="99"/>
    <w:rsid w:val="00F2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8" ma:contentTypeDescription="Create a new document." ma:contentTypeScope="" ma:versionID="fa96545e3832574372eca68d8419ad95">
  <xsd:schema xmlns:xsd="http://www.w3.org/2001/XMLSchema" xmlns:xs="http://www.w3.org/2001/XMLSchema" xmlns:p="http://schemas.microsoft.com/office/2006/metadata/properties" xmlns:ns2="5d8c711f-12c4-4b74-a160-ecf4c25002d6" xmlns:ns3="d810a318-5788-42c4-bc95-17272ed21e47" targetNamespace="http://schemas.microsoft.com/office/2006/metadata/properties" ma:root="true" ma:fieldsID="97a7208fbb941466fb2fd0cb9716fcd8" ns2:_="" ns3:_="">
    <xsd:import namespace="5d8c711f-12c4-4b74-a160-ecf4c25002d6"/>
    <xsd:import namespace="d810a318-5788-42c4-bc95-17272ed21e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FBC9D4-EF7B-413C-8EA0-850E2DA0F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711f-12c4-4b74-a160-ecf4c25002d6"/>
    <ds:schemaRef ds:uri="d810a318-5788-42c4-bc95-17272ed2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9294E2-F77A-4CFE-996A-92059211B952}">
  <ds:schemaRefs>
    <ds:schemaRef ds:uri="http://schemas.microsoft.com/sharepoint/v3/contenttype/forms"/>
  </ds:schemaRefs>
</ds:datastoreItem>
</file>

<file path=customXml/itemProps3.xml><?xml version="1.0" encoding="utf-8"?>
<ds:datastoreItem xmlns:ds="http://schemas.openxmlformats.org/officeDocument/2006/customXml" ds:itemID="{9D095331-48CF-4205-A26A-2AD8C5F136B8}">
  <ds:schemaRefs>
    <ds:schemaRef ds:uri="http://purl.org/dc/elements/1.1/"/>
    <ds:schemaRef ds:uri="http://schemas.microsoft.com/office/2006/metadata/properties"/>
    <ds:schemaRef ds:uri="5d8c711f-12c4-4b74-a160-ecf4c25002d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810a318-5788-42c4-bc95-17272ed21e47"/>
    <ds:schemaRef ds:uri="http://www.w3.org/XML/1998/namespace"/>
    <ds:schemaRef ds:uri="http://purl.org/dc/dcmitype/"/>
  </ds:schemaRefs>
</ds:datastoreItem>
</file>

<file path=customXml/itemProps4.xml><?xml version="1.0" encoding="utf-8"?>
<ds:datastoreItem xmlns:ds="http://schemas.openxmlformats.org/officeDocument/2006/customXml" ds:itemID="{98C01D5A-FB58-461E-BBEF-BB9E2174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Tax Implications of USDA Conservation Easements Fact Sheet</vt:lpstr>
    </vt:vector>
  </TitlesOfParts>
  <Company>American Farmland Trust</Company>
  <LinksUpToDate>false</LinksUpToDate>
  <CharactersWithSpaces>3820</CharactersWithSpaces>
  <SharedDoc>false</SharedDoc>
  <HLinks>
    <vt:vector size="12" baseType="variant">
      <vt:variant>
        <vt:i4>4259920</vt:i4>
      </vt:variant>
      <vt:variant>
        <vt:i4>3</vt:i4>
      </vt:variant>
      <vt:variant>
        <vt:i4>0</vt:i4>
      </vt:variant>
      <vt:variant>
        <vt:i4>5</vt:i4>
      </vt:variant>
      <vt:variant>
        <vt:lpwstr>http://www.farmlandinfo.org/</vt:lpwstr>
      </vt:variant>
      <vt:variant>
        <vt:lpwstr/>
      </vt:variant>
      <vt:variant>
        <vt:i4>5111889</vt:i4>
      </vt:variant>
      <vt:variant>
        <vt:i4>0</vt:i4>
      </vt:variant>
      <vt:variant>
        <vt:i4>0</vt:i4>
      </vt:variant>
      <vt:variant>
        <vt:i4>5</vt:i4>
      </vt:variant>
      <vt:variant>
        <vt:lpwstr>http://www.farmland.org/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Implications of USDA Conservation Easements Fact Sheet</dc:title>
  <dc:subject/>
  <dc:creator>Andy Andrews</dc:creator>
  <cp:keywords/>
  <dc:description/>
  <cp:lastModifiedBy>Kate Rossiter Pontius</cp:lastModifiedBy>
  <cp:revision>2</cp:revision>
  <cp:lastPrinted>2019-04-02T15:23:00Z</cp:lastPrinted>
  <dcterms:created xsi:type="dcterms:W3CDTF">2019-04-11T21:23:00Z</dcterms:created>
  <dcterms:modified xsi:type="dcterms:W3CDTF">2019-04-11T21:23:00Z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ies>
</file>